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1E" w:rsidRPr="00B83F16" w:rsidRDefault="00265003" w:rsidP="00B83F16">
      <w:pPr>
        <w:pStyle w:val="Title"/>
        <w:pBdr>
          <w:bottom w:val="single" w:sz="4" w:space="1" w:color="FF9900"/>
        </w:pBdr>
      </w:pPr>
      <w:bookmarkStart w:id="0" w:name="_GoBack"/>
      <w:bookmarkEnd w:id="0"/>
      <w:r>
        <w:t>CIO-SP</w:t>
      </w:r>
      <w:r w:rsidR="00770600">
        <w:t>3</w:t>
      </w:r>
      <w:r w:rsidR="00B9601E">
        <w:t xml:space="preserve"> – NITAAC Statement of Work (SOW)</w:t>
      </w:r>
      <w:r w:rsidR="00AB3328">
        <w:t xml:space="preserve"> Template</w:t>
      </w:r>
    </w:p>
    <w:p w:rsidR="00B9601E" w:rsidRDefault="00B9601E">
      <w:pPr>
        <w:pStyle w:val="Instruction"/>
        <w:jc w:val="both"/>
        <w:rPr>
          <w:b/>
          <w:bCs/>
        </w:rPr>
      </w:pPr>
      <w:r>
        <w:t>Note: Guidance is presented in italic</w:t>
      </w:r>
      <w:r w:rsidR="0097114F">
        <w:t>s within borders,</w:t>
      </w:r>
      <w:r>
        <w:t xml:space="preserve"> while example content is presented in normal font.  </w:t>
      </w:r>
      <w:r>
        <w:rPr>
          <w:b/>
          <w:bCs/>
        </w:rPr>
        <w:t>Please delete all guidance when finalizing the SOW.</w:t>
      </w:r>
    </w:p>
    <w:p w:rsidR="00AB3328" w:rsidRDefault="00AB3328">
      <w:pPr>
        <w:pStyle w:val="Instruction"/>
        <w:jc w:val="both"/>
        <w:rPr>
          <w:b/>
          <w:bCs/>
        </w:rPr>
      </w:pPr>
    </w:p>
    <w:p w:rsidR="00B9601E" w:rsidRPr="00225B73" w:rsidRDefault="00AB3328" w:rsidP="00BA0B24">
      <w:pPr>
        <w:pStyle w:val="Instruction"/>
        <w:jc w:val="both"/>
        <w:rPr>
          <w:b/>
          <w:szCs w:val="20"/>
        </w:rPr>
      </w:pPr>
      <w:r w:rsidRPr="00225B73">
        <w:rPr>
          <w:b/>
          <w:bCs/>
          <w:szCs w:val="20"/>
        </w:rPr>
        <w:t>Use of the template is encouraged, but not required</w:t>
      </w:r>
      <w:r w:rsidR="00B83F16" w:rsidRPr="00225B73">
        <w:rPr>
          <w:b/>
          <w:bCs/>
          <w:szCs w:val="20"/>
        </w:rPr>
        <w:t>.</w:t>
      </w:r>
      <w:r w:rsidRPr="00225B73">
        <w:rPr>
          <w:b/>
          <w:bCs/>
          <w:szCs w:val="20"/>
        </w:rPr>
        <w:t xml:space="preserve"> </w:t>
      </w:r>
      <w:r w:rsidR="00B83F16" w:rsidRPr="00225B73">
        <w:rPr>
          <w:b/>
          <w:bCs/>
          <w:szCs w:val="20"/>
        </w:rPr>
        <w:t xml:space="preserve">The template can simply be used as a reference </w:t>
      </w:r>
      <w:r w:rsidR="00BA0B24" w:rsidRPr="00225B73">
        <w:rPr>
          <w:b/>
          <w:bCs/>
          <w:szCs w:val="20"/>
        </w:rPr>
        <w:t xml:space="preserve">document </w:t>
      </w:r>
      <w:r w:rsidRPr="00225B73">
        <w:rPr>
          <w:b/>
          <w:bCs/>
          <w:szCs w:val="20"/>
        </w:rPr>
        <w:t xml:space="preserve">to ensure that </w:t>
      </w:r>
      <w:r w:rsidR="00B83F16" w:rsidRPr="00225B73">
        <w:rPr>
          <w:b/>
          <w:bCs/>
          <w:szCs w:val="20"/>
        </w:rPr>
        <w:t>the</w:t>
      </w:r>
      <w:r w:rsidRPr="00225B73">
        <w:rPr>
          <w:b/>
          <w:bCs/>
          <w:szCs w:val="20"/>
        </w:rPr>
        <w:t xml:space="preserve"> listed information is provided</w:t>
      </w:r>
      <w:r w:rsidR="00B83F16" w:rsidRPr="00225B73">
        <w:rPr>
          <w:b/>
          <w:bCs/>
          <w:szCs w:val="20"/>
        </w:rPr>
        <w:t xml:space="preserve"> in your own SOW</w:t>
      </w:r>
      <w:r w:rsidRPr="00225B73">
        <w:rPr>
          <w:b/>
          <w:bCs/>
          <w:szCs w:val="20"/>
        </w:rPr>
        <w:t>.</w:t>
      </w:r>
    </w:p>
    <w:p w:rsidR="00B9601E" w:rsidRDefault="00B9601E">
      <w:pPr>
        <w:pStyle w:val="Heading1"/>
      </w:pPr>
      <w:r>
        <w:t>Task Order Title</w:t>
      </w:r>
    </w:p>
    <w:p w:rsidR="00B9601E" w:rsidRDefault="00B9601E">
      <w:pPr>
        <w:pStyle w:val="Instruction"/>
        <w:jc w:val="both"/>
      </w:pPr>
      <w:r>
        <w:t xml:space="preserve">Include a short title of services or a general description of items to be acquired.   This title should be unique and descriptive, and should be used consistently </w:t>
      </w:r>
      <w:r w:rsidR="00771027">
        <w:t xml:space="preserve">throughout </w:t>
      </w:r>
      <w:r>
        <w:t>the task order process.</w:t>
      </w:r>
      <w:r w:rsidR="007F6B62">
        <w:t xml:space="preserve">  Example: “Operations and Maintenance Support for the Web Security System (WSS)”</w:t>
      </w:r>
    </w:p>
    <w:p w:rsidR="00B83F16" w:rsidRDefault="00B83F16">
      <w:pPr>
        <w:pStyle w:val="Instruction"/>
        <w:jc w:val="both"/>
      </w:pPr>
    </w:p>
    <w:p w:rsidR="007F6B62" w:rsidRDefault="00B83F16">
      <w:pPr>
        <w:pStyle w:val="Instruction"/>
        <w:jc w:val="both"/>
      </w:pPr>
      <w:r>
        <w:t>Along wi</w:t>
      </w:r>
      <w:r w:rsidR="007F6B62">
        <w:t>th the title, include an “as of</w:t>
      </w:r>
      <w:r w:rsidR="001D3C01">
        <w:t>”</w:t>
      </w:r>
      <w:r>
        <w:t xml:space="preserve"> date and the requiring agency name.</w:t>
      </w:r>
      <w:r w:rsidRPr="00B83F16">
        <w:t xml:space="preserve"> </w:t>
      </w:r>
      <w:r>
        <w:t>The SOW must have an “as of</w:t>
      </w:r>
      <w:r w:rsidR="001D3C01">
        <w:t>”</w:t>
      </w:r>
      <w:r w:rsidR="00225B73">
        <w:t xml:space="preserve"> date.</w:t>
      </w:r>
      <w:r>
        <w:t xml:space="preserve">  If the SOW is revised or corrected during the pre-award phase, each revision should have a new date with changes marked by revision bars. </w:t>
      </w:r>
      <w:r w:rsidR="001D3C01">
        <w:t xml:space="preserve">When a SOW is revised for task order modification (after award) it must be given a new "as of" date.  </w:t>
      </w:r>
      <w:r>
        <w:t>SOW’s should be page numbered.</w:t>
      </w:r>
    </w:p>
    <w:p w:rsidR="00B83F16" w:rsidRPr="00B83F16" w:rsidRDefault="00B83F16" w:rsidP="00B83F16">
      <w:pPr>
        <w:pStyle w:val="AppendixHeading2"/>
        <w:rPr>
          <w:b w:val="0"/>
          <w:bCs/>
          <w:caps w:val="0"/>
          <w:szCs w:val="24"/>
        </w:rPr>
      </w:pPr>
      <w:r w:rsidRPr="00B83F16">
        <w:rPr>
          <w:b w:val="0"/>
          <w:bCs/>
          <w:caps w:val="0"/>
          <w:szCs w:val="24"/>
        </w:rPr>
        <w:t xml:space="preserve">As of </w:t>
      </w:r>
      <w:r w:rsidR="001D3C01">
        <w:rPr>
          <w:b w:val="0"/>
          <w:bCs/>
          <w:caps w:val="0"/>
          <w:szCs w:val="24"/>
        </w:rPr>
        <w:t>MM/DD/YYYY</w:t>
      </w:r>
    </w:p>
    <w:p w:rsidR="00B83F16" w:rsidRPr="00B83F16" w:rsidRDefault="00B83F16" w:rsidP="00B83F16">
      <w:pPr>
        <w:spacing w:before="120" w:after="120"/>
        <w:rPr>
          <w:bCs/>
        </w:rPr>
      </w:pPr>
      <w:r w:rsidRPr="00B83F16">
        <w:rPr>
          <w:bCs/>
        </w:rPr>
        <w:t>Agency Name</w:t>
      </w:r>
    </w:p>
    <w:p w:rsidR="00B9601E" w:rsidRDefault="00B9601E">
      <w:pPr>
        <w:pStyle w:val="Heading1"/>
      </w:pPr>
      <w:r>
        <w:t>Background</w:t>
      </w:r>
    </w:p>
    <w:p w:rsidR="00B9601E" w:rsidRDefault="00B9601E">
      <w:pPr>
        <w:pStyle w:val="Instruction"/>
        <w:jc w:val="both"/>
      </w:pPr>
      <w:r>
        <w:t>Justify this effort in relationship to the customers’ agency mission.  List other historical or parallel efforts such as other agency activities and/or industry efforts that provide additional information related to this SOW.</w:t>
      </w:r>
    </w:p>
    <w:p w:rsidR="00B9601E" w:rsidRDefault="00B9601E">
      <w:pPr>
        <w:pStyle w:val="Heading1"/>
      </w:pPr>
      <w:r>
        <w:t>Objectives</w:t>
      </w:r>
    </w:p>
    <w:p w:rsidR="00B9601E" w:rsidRDefault="00B9601E">
      <w:pPr>
        <w:pStyle w:val="Instruction"/>
        <w:jc w:val="both"/>
      </w:pPr>
      <w:r>
        <w:t>Provide a concise overview of the customer's goals and expectations as a result of this task order.</w:t>
      </w:r>
      <w:r w:rsidR="00FF56AF" w:rsidRPr="00FF56AF">
        <w:t xml:space="preserve"> It does not need to include a description of deliverable</w:t>
      </w:r>
      <w:r w:rsidR="00FF56AF">
        <w:t>s</w:t>
      </w:r>
      <w:r w:rsidR="00FF56AF" w:rsidRPr="00FF56AF">
        <w:t xml:space="preserve"> or </w:t>
      </w:r>
      <w:r w:rsidR="00FF56AF">
        <w:t>requirements since these</w:t>
      </w:r>
      <w:r w:rsidR="00FF56AF" w:rsidRPr="00FF56AF">
        <w:t xml:space="preserve"> will be included in the “</w:t>
      </w:r>
      <w:r w:rsidR="00FF56AF">
        <w:t>Specific Tasks</w:t>
      </w:r>
      <w:r w:rsidR="00FF56AF" w:rsidRPr="00FF56AF">
        <w:t>” section below.</w:t>
      </w:r>
    </w:p>
    <w:p w:rsidR="00B9601E" w:rsidRDefault="00B9601E">
      <w:pPr>
        <w:pStyle w:val="Heading1"/>
      </w:pPr>
      <w:r>
        <w:t>Scope</w:t>
      </w:r>
    </w:p>
    <w:p w:rsidR="00C750C9" w:rsidRDefault="00B9601E">
      <w:pPr>
        <w:pStyle w:val="Instruction"/>
        <w:jc w:val="both"/>
        <w:rPr>
          <w:color w:val="993366"/>
        </w:rPr>
      </w:pPr>
      <w:r>
        <w:t xml:space="preserve">Describe the general scope of work.  The SOW </w:t>
      </w:r>
      <w:r w:rsidR="00C55F24">
        <w:t>should</w:t>
      </w:r>
      <w:r>
        <w:t xml:space="preserve"> be performance-based in accordance with FAR 37.6</w:t>
      </w:r>
      <w:r w:rsidRPr="00225B73">
        <w:t>.</w:t>
      </w:r>
      <w:r w:rsidR="00225B73" w:rsidRPr="00225B73">
        <w:t xml:space="preserve"> </w:t>
      </w:r>
      <w:r w:rsidRPr="00225B73">
        <w:t>Identify each CIO-SP</w:t>
      </w:r>
      <w:r w:rsidR="00770600">
        <w:t>3</w:t>
      </w:r>
      <w:r w:rsidRPr="00225B73">
        <w:t xml:space="preserve"> Task Order work category required to ensure that your </w:t>
      </w:r>
      <w:r w:rsidR="00C750C9" w:rsidRPr="00225B73">
        <w:t>tasks are within contract scope</w:t>
      </w:r>
      <w:r w:rsidRPr="00225B73">
        <w:t xml:space="preserve"> (</w:t>
      </w:r>
      <w:r w:rsidR="00DC6AC3" w:rsidRPr="00225B73">
        <w:rPr>
          <w:b/>
        </w:rPr>
        <w:t xml:space="preserve">being in scope is </w:t>
      </w:r>
      <w:r w:rsidRPr="00225B73">
        <w:rPr>
          <w:b/>
        </w:rPr>
        <w:t>mandatory</w:t>
      </w:r>
      <w:r w:rsidRPr="00225B73">
        <w:t>).</w:t>
      </w:r>
      <w:r w:rsidR="00C750C9" w:rsidRPr="00225B73">
        <w:t xml:space="preserve">  Full descriptions of the Task Areas can be found on the </w:t>
      </w:r>
      <w:r w:rsidR="00770600">
        <w:t>CIO-SP3</w:t>
      </w:r>
      <w:r w:rsidR="00C750C9" w:rsidRPr="00225B73">
        <w:t xml:space="preserve"> web page</w:t>
      </w:r>
      <w:r w:rsidR="00771027">
        <w:rPr>
          <w:color w:val="993366"/>
        </w:rPr>
        <w:t xml:space="preserve"> </w:t>
      </w:r>
      <w:hyperlink r:id="rId7" w:history="1">
        <w:r w:rsidR="00D3092B" w:rsidRPr="007F58A8">
          <w:rPr>
            <w:rStyle w:val="Hyperlink"/>
          </w:rPr>
          <w:t>http://nitaac.nih.gov/nitaac/contracts/cio-sp3</w:t>
        </w:r>
      </w:hyperlink>
      <w:r w:rsidR="00D3092B">
        <w:t xml:space="preserve"> </w:t>
      </w:r>
      <w:r w:rsidR="00C55F24" w:rsidRPr="00C55F24">
        <w:rPr>
          <w:color w:val="993366"/>
        </w:rPr>
        <w:t>.</w:t>
      </w:r>
    </w:p>
    <w:p w:rsidR="00B9601E" w:rsidRDefault="00AB3328">
      <w:pPr>
        <w:pStyle w:val="Instruction"/>
      </w:pPr>
      <w:r>
        <w:t>Task Areas</w:t>
      </w:r>
      <w:r w:rsidR="00B9601E">
        <w:t>:  </w:t>
      </w:r>
    </w:p>
    <w:p w:rsidR="00770600" w:rsidRDefault="00770600">
      <w:pPr>
        <w:pStyle w:val="Instruction"/>
        <w:rPr>
          <w:rFonts w:cs="Arial"/>
        </w:rPr>
      </w:pPr>
      <w:r>
        <w:rPr>
          <w:rFonts w:cs="Arial"/>
        </w:rPr>
        <w:t xml:space="preserve">CIO-SP3 Task Area 1. </w:t>
      </w:r>
      <w:r>
        <w:rPr>
          <w:rStyle w:val="field-content"/>
        </w:rPr>
        <w:t>IT Services for Biomedical Research, Health Sciences, and Healthcare</w:t>
      </w:r>
    </w:p>
    <w:p w:rsidR="00B9601E" w:rsidRDefault="00770600">
      <w:pPr>
        <w:pStyle w:val="Instruction"/>
        <w:rPr>
          <w:rFonts w:cs="Arial"/>
        </w:rPr>
      </w:pPr>
      <w:r>
        <w:rPr>
          <w:rFonts w:cs="Arial"/>
        </w:rPr>
        <w:t>CIO-SP3</w:t>
      </w:r>
      <w:r w:rsidR="001D3C01">
        <w:rPr>
          <w:rFonts w:cs="Arial"/>
        </w:rPr>
        <w:t xml:space="preserve"> Task</w:t>
      </w:r>
      <w:r w:rsidR="00B9601E">
        <w:rPr>
          <w:rFonts w:cs="Arial"/>
        </w:rPr>
        <w:t xml:space="preserve"> Area </w:t>
      </w:r>
      <w:r>
        <w:rPr>
          <w:rFonts w:cs="Arial"/>
        </w:rPr>
        <w:t>2</w:t>
      </w:r>
      <w:r w:rsidR="00B9601E">
        <w:rPr>
          <w:rFonts w:cs="Arial"/>
        </w:rPr>
        <w:t>. Chief Information Officer (CIO) Support</w:t>
      </w:r>
    </w:p>
    <w:p w:rsidR="00770600" w:rsidRDefault="00770600">
      <w:pPr>
        <w:pStyle w:val="Instruction"/>
        <w:rPr>
          <w:rFonts w:cs="Arial"/>
        </w:rPr>
      </w:pPr>
      <w:r>
        <w:rPr>
          <w:rFonts w:cs="Arial"/>
        </w:rPr>
        <w:t>CIO-SP3 Task Area 3. Imaging</w:t>
      </w:r>
    </w:p>
    <w:p w:rsidR="00B9601E" w:rsidRDefault="00770600">
      <w:pPr>
        <w:pStyle w:val="Instruction"/>
        <w:rPr>
          <w:rFonts w:cs="Arial"/>
        </w:rPr>
      </w:pPr>
      <w:r>
        <w:rPr>
          <w:rFonts w:cs="Arial"/>
        </w:rPr>
        <w:t>CIO-SP3</w:t>
      </w:r>
      <w:r w:rsidR="001D3C01">
        <w:rPr>
          <w:rFonts w:cs="Arial"/>
        </w:rPr>
        <w:t xml:space="preserve"> Task</w:t>
      </w:r>
      <w:r w:rsidR="00B9601E">
        <w:rPr>
          <w:rFonts w:cs="Arial"/>
        </w:rPr>
        <w:t xml:space="preserve"> Area </w:t>
      </w:r>
      <w:r>
        <w:rPr>
          <w:rFonts w:cs="Arial"/>
        </w:rPr>
        <w:t>4</w:t>
      </w:r>
      <w:r w:rsidR="00B9601E">
        <w:rPr>
          <w:rFonts w:cs="Arial"/>
        </w:rPr>
        <w:t>. Outsourcing</w:t>
      </w:r>
    </w:p>
    <w:p w:rsidR="00B9601E" w:rsidRDefault="00770600">
      <w:pPr>
        <w:pStyle w:val="Instruction"/>
        <w:rPr>
          <w:rFonts w:cs="Arial"/>
        </w:rPr>
      </w:pPr>
      <w:r>
        <w:rPr>
          <w:rFonts w:cs="Arial"/>
        </w:rPr>
        <w:t>CIO-SP3</w:t>
      </w:r>
      <w:r w:rsidR="001D3C01">
        <w:rPr>
          <w:rFonts w:cs="Arial"/>
        </w:rPr>
        <w:t xml:space="preserve"> Task</w:t>
      </w:r>
      <w:r w:rsidR="00B9601E">
        <w:rPr>
          <w:rFonts w:cs="Arial"/>
        </w:rPr>
        <w:t xml:space="preserve"> Area </w:t>
      </w:r>
      <w:r>
        <w:rPr>
          <w:rFonts w:cs="Arial"/>
        </w:rPr>
        <w:t>5</w:t>
      </w:r>
      <w:r w:rsidR="00B9601E">
        <w:rPr>
          <w:rFonts w:cs="Arial"/>
        </w:rPr>
        <w:t xml:space="preserve">. </w:t>
      </w:r>
      <w:r>
        <w:rPr>
          <w:rFonts w:cs="Arial"/>
        </w:rPr>
        <w:t>IT</w:t>
      </w:r>
      <w:r w:rsidR="00B9601E">
        <w:rPr>
          <w:rFonts w:cs="Arial"/>
        </w:rPr>
        <w:t xml:space="preserve"> Operations and Maintenance</w:t>
      </w:r>
    </w:p>
    <w:p w:rsidR="00B9601E" w:rsidRDefault="00770600">
      <w:pPr>
        <w:pStyle w:val="Instruction"/>
        <w:rPr>
          <w:rStyle w:val="pbllt"/>
          <w:rFonts w:ascii="Arial" w:hAnsi="Arial" w:cs="Arial"/>
        </w:rPr>
      </w:pPr>
      <w:r>
        <w:rPr>
          <w:rFonts w:cs="Arial"/>
        </w:rPr>
        <w:t>CIO-SP3</w:t>
      </w:r>
      <w:r w:rsidR="001D3C01">
        <w:rPr>
          <w:rFonts w:cs="Arial"/>
        </w:rPr>
        <w:t xml:space="preserve"> Task</w:t>
      </w:r>
      <w:r w:rsidR="00B9601E">
        <w:rPr>
          <w:rFonts w:cs="Arial"/>
        </w:rPr>
        <w:t xml:space="preserve"> Area </w:t>
      </w:r>
      <w:r>
        <w:rPr>
          <w:rFonts w:cs="Arial"/>
        </w:rPr>
        <w:t>6</w:t>
      </w:r>
      <w:r w:rsidR="00B9601E">
        <w:rPr>
          <w:rFonts w:cs="Arial"/>
        </w:rPr>
        <w:t>. Integration Services</w:t>
      </w:r>
    </w:p>
    <w:p w:rsidR="00B9601E" w:rsidRDefault="00770600">
      <w:pPr>
        <w:pStyle w:val="Instruction"/>
        <w:rPr>
          <w:rStyle w:val="pbllt"/>
          <w:rFonts w:ascii="Arial" w:hAnsi="Arial" w:cs="Arial"/>
        </w:rPr>
      </w:pPr>
      <w:r>
        <w:rPr>
          <w:rFonts w:cs="Arial"/>
        </w:rPr>
        <w:t>CIO-SP3</w:t>
      </w:r>
      <w:r w:rsidR="001D3C01">
        <w:rPr>
          <w:rFonts w:cs="Arial"/>
        </w:rPr>
        <w:t xml:space="preserve"> Task</w:t>
      </w:r>
      <w:r w:rsidR="00B9601E">
        <w:rPr>
          <w:rFonts w:cs="Arial"/>
        </w:rPr>
        <w:t xml:space="preserve"> Area </w:t>
      </w:r>
      <w:r>
        <w:rPr>
          <w:rFonts w:cs="Arial"/>
        </w:rPr>
        <w:t>7</w:t>
      </w:r>
      <w:r w:rsidR="00B9601E">
        <w:rPr>
          <w:rFonts w:cs="Arial"/>
        </w:rPr>
        <w:t xml:space="preserve">. </w:t>
      </w:r>
      <w:r w:rsidR="00B9601E">
        <w:rPr>
          <w:rStyle w:val="pbllt"/>
          <w:rFonts w:ascii="Arial" w:hAnsi="Arial" w:cs="Arial"/>
        </w:rPr>
        <w:t>Critical Infrastructure Protection and Information Assurance</w:t>
      </w:r>
    </w:p>
    <w:p w:rsidR="00B9601E" w:rsidRDefault="00770600">
      <w:pPr>
        <w:pStyle w:val="Instruction"/>
        <w:rPr>
          <w:rStyle w:val="pbllt"/>
          <w:rFonts w:ascii="Arial" w:hAnsi="Arial" w:cs="Arial"/>
        </w:rPr>
      </w:pPr>
      <w:r>
        <w:rPr>
          <w:rFonts w:cs="Arial"/>
        </w:rPr>
        <w:t>CIO-SP3</w:t>
      </w:r>
      <w:r w:rsidR="001D3C01">
        <w:rPr>
          <w:rFonts w:cs="Arial"/>
        </w:rPr>
        <w:t xml:space="preserve"> Task</w:t>
      </w:r>
      <w:r w:rsidR="00B9601E">
        <w:rPr>
          <w:rFonts w:cs="Arial"/>
        </w:rPr>
        <w:t xml:space="preserve"> Area </w:t>
      </w:r>
      <w:r>
        <w:rPr>
          <w:rFonts w:cs="Arial"/>
        </w:rPr>
        <w:t>8</w:t>
      </w:r>
      <w:r w:rsidR="00B9601E">
        <w:rPr>
          <w:rFonts w:cs="Arial"/>
        </w:rPr>
        <w:t xml:space="preserve">. </w:t>
      </w:r>
      <w:r w:rsidR="00B9601E">
        <w:rPr>
          <w:rStyle w:val="pbllt"/>
          <w:rFonts w:ascii="Arial" w:hAnsi="Arial" w:cs="Arial"/>
        </w:rPr>
        <w:t>Digital Government</w:t>
      </w:r>
    </w:p>
    <w:p w:rsidR="00B9601E" w:rsidRDefault="00770600">
      <w:pPr>
        <w:pStyle w:val="Instruction"/>
        <w:rPr>
          <w:rStyle w:val="pbllt"/>
          <w:rFonts w:ascii="Arial" w:hAnsi="Arial"/>
          <w:i w:val="0"/>
          <w:iCs/>
          <w:sz w:val="24"/>
        </w:rPr>
      </w:pPr>
      <w:r>
        <w:rPr>
          <w:rFonts w:cs="Arial"/>
        </w:rPr>
        <w:t>CIO-SP3</w:t>
      </w:r>
      <w:r w:rsidR="001D3C01">
        <w:rPr>
          <w:rFonts w:cs="Arial"/>
        </w:rPr>
        <w:t xml:space="preserve"> Task</w:t>
      </w:r>
      <w:r w:rsidR="00B9601E">
        <w:rPr>
          <w:rFonts w:cs="Arial"/>
        </w:rPr>
        <w:t xml:space="preserve"> Area </w:t>
      </w:r>
      <w:r>
        <w:rPr>
          <w:rFonts w:cs="Arial"/>
        </w:rPr>
        <w:t>9</w:t>
      </w:r>
      <w:r w:rsidR="00B9601E">
        <w:rPr>
          <w:rFonts w:cs="Arial"/>
        </w:rPr>
        <w:t xml:space="preserve">. </w:t>
      </w:r>
      <w:r w:rsidR="00B9601E">
        <w:rPr>
          <w:rStyle w:val="pbllt"/>
          <w:rFonts w:ascii="Arial" w:hAnsi="Arial" w:cs="Arial"/>
        </w:rPr>
        <w:t>Enterprise Resource Planning</w:t>
      </w:r>
    </w:p>
    <w:p w:rsidR="00B9601E" w:rsidRDefault="00770600">
      <w:pPr>
        <w:pStyle w:val="Instruction"/>
      </w:pPr>
      <w:r>
        <w:rPr>
          <w:rFonts w:cs="Arial"/>
        </w:rPr>
        <w:t>CIO-SP3</w:t>
      </w:r>
      <w:r w:rsidR="001D3C01">
        <w:rPr>
          <w:rFonts w:cs="Arial"/>
        </w:rPr>
        <w:t xml:space="preserve"> Task</w:t>
      </w:r>
      <w:r w:rsidR="00B9601E">
        <w:rPr>
          <w:rFonts w:cs="Arial"/>
        </w:rPr>
        <w:t xml:space="preserve"> Area </w:t>
      </w:r>
      <w:r>
        <w:rPr>
          <w:rFonts w:cs="Arial"/>
        </w:rPr>
        <w:t>10</w:t>
      </w:r>
      <w:r w:rsidR="00695A56">
        <w:rPr>
          <w:rFonts w:cs="Arial"/>
        </w:rPr>
        <w:t>.</w:t>
      </w:r>
      <w:r w:rsidR="00B9601E">
        <w:rPr>
          <w:rFonts w:cs="Arial"/>
        </w:rPr>
        <w:t>Software Development</w:t>
      </w:r>
      <w:r w:rsidR="00B9601E">
        <w:t xml:space="preserve"> </w:t>
      </w:r>
    </w:p>
    <w:p w:rsidR="00B9601E" w:rsidRDefault="00B9601E">
      <w:pPr>
        <w:pStyle w:val="Heading1"/>
      </w:pPr>
      <w:r>
        <w:lastRenderedPageBreak/>
        <w:t>Specific Tasks</w:t>
      </w:r>
    </w:p>
    <w:p w:rsidR="00AB3328" w:rsidRDefault="00B9601E" w:rsidP="00AB3328">
      <w:pPr>
        <w:pStyle w:val="Instruction"/>
        <w:jc w:val="both"/>
      </w:pPr>
      <w:r>
        <w:t xml:space="preserve">Provide a performance-based narrative of the specific tasks and/or products that make up the SOW.  Number the tasks sequentially, e.g. Task 1 and narrative, Task 2 and narrative, etc.  Task 1 </w:t>
      </w:r>
      <w:r w:rsidR="00C55F24">
        <w:t>should</w:t>
      </w:r>
      <w:r>
        <w:t xml:space="preserve"> be for Task Order (TO) Management</w:t>
      </w:r>
      <w:r w:rsidR="00AB3328">
        <w:t>.</w:t>
      </w:r>
    </w:p>
    <w:p w:rsidR="00B9601E" w:rsidRDefault="00B9601E">
      <w:pPr>
        <w:pStyle w:val="Heading2"/>
      </w:pPr>
      <w:r>
        <w:t>Task 1 - Task Order (TO) Management</w:t>
      </w:r>
    </w:p>
    <w:p w:rsidR="00B9601E" w:rsidRDefault="00B9601E">
      <w:pPr>
        <w:pStyle w:val="Instruction"/>
        <w:jc w:val="both"/>
      </w:pPr>
      <w:r>
        <w:t>Prepare a Task Order Management Plan describing the technical approach, organizational resources and management controls to be employed to meet the cost, performance and schedule requirements throughout task order execution</w:t>
      </w:r>
      <w:r w:rsidR="00367C2A">
        <w:t>.</w:t>
      </w:r>
    </w:p>
    <w:p w:rsidR="00CF0C45" w:rsidRDefault="00CF0C45" w:rsidP="00BA0B24">
      <w:pPr>
        <w:pStyle w:val="Heading3"/>
      </w:pPr>
      <w:r w:rsidRPr="00CF0C45">
        <w:t>Earned Value Management System</w:t>
      </w:r>
    </w:p>
    <w:p w:rsidR="00B11DA2" w:rsidRDefault="00B11DA2" w:rsidP="00B11DA2">
      <w:pPr>
        <w:pStyle w:val="Instruction"/>
        <w:jc w:val="both"/>
      </w:pPr>
      <w:r w:rsidRPr="001A361B">
        <w:t xml:space="preserve">All task orders on this contract are required to meet </w:t>
      </w:r>
      <w:r w:rsidR="006E01C3">
        <w:t>the requiring agency’s</w:t>
      </w:r>
      <w:r>
        <w:t xml:space="preserve"> Earned Value Management System</w:t>
      </w:r>
      <w:r w:rsidRPr="001A361B">
        <w:t xml:space="preserve"> </w:t>
      </w:r>
      <w:r>
        <w:t>(</w:t>
      </w:r>
      <w:r w:rsidRPr="001A361B">
        <w:t>EVM</w:t>
      </w:r>
      <w:r>
        <w:t>S)</w:t>
      </w:r>
      <w:r w:rsidRPr="001A361B">
        <w:t xml:space="preserve"> requirements. </w:t>
      </w:r>
    </w:p>
    <w:p w:rsidR="00C750C9" w:rsidRDefault="00C750C9" w:rsidP="00B11DA2">
      <w:pPr>
        <w:pStyle w:val="Instruction"/>
        <w:jc w:val="both"/>
      </w:pPr>
    </w:p>
    <w:p w:rsidR="004B3BD5" w:rsidRDefault="004B3BD5" w:rsidP="00AB3328">
      <w:pPr>
        <w:pStyle w:val="Instruction"/>
        <w:jc w:val="both"/>
      </w:pPr>
      <w:r>
        <w:t xml:space="preserve">Refer to the requiring agency’s approved Earned Value Management Systems implementation and surveillance policy for guidance. </w:t>
      </w:r>
    </w:p>
    <w:p w:rsidR="00B9601E" w:rsidRDefault="00B9601E" w:rsidP="00BA0B24">
      <w:pPr>
        <w:pStyle w:val="Heading3"/>
      </w:pPr>
      <w:r>
        <w:t>In progress Review Support</w:t>
      </w:r>
    </w:p>
    <w:p w:rsidR="0081487B" w:rsidRDefault="00B9601E">
      <w:pPr>
        <w:pStyle w:val="Instruction"/>
        <w:jc w:val="both"/>
      </w:pPr>
      <w:r>
        <w:t>Provide a monthly status report monitoring the quality assurance, configuration management, and security management applied to the task order (as appropriate to the specific nature of the SOW).</w:t>
      </w:r>
    </w:p>
    <w:p w:rsidR="00B9601E" w:rsidRDefault="00AB3328">
      <w:pPr>
        <w:pStyle w:val="Heading2"/>
      </w:pPr>
      <w:r>
        <w:t>(EXAMPLE)</w:t>
      </w:r>
      <w:r w:rsidR="00723663">
        <w:t xml:space="preserve"> </w:t>
      </w:r>
      <w:r w:rsidR="00CA41F5">
        <w:t xml:space="preserve">Task 2 - </w:t>
      </w:r>
      <w:r w:rsidR="00723663">
        <w:t>Integration</w:t>
      </w:r>
      <w:r w:rsidR="00B9601E">
        <w:t xml:space="preserve"> Services</w:t>
      </w:r>
      <w:r w:rsidR="00CA41F5">
        <w:t>: Prototype Development and Integration</w:t>
      </w:r>
    </w:p>
    <w:p w:rsidR="00B9601E" w:rsidRDefault="00B9601E">
      <w:pPr>
        <w:pStyle w:val="Instruction"/>
        <w:jc w:val="both"/>
      </w:pPr>
      <w:r>
        <w:t xml:space="preserve">Text in this section </w:t>
      </w:r>
      <w:r w:rsidR="00C55F24">
        <w:t>should precisely describe</w:t>
      </w:r>
      <w:r>
        <w:t xml:space="preserve"> the work to be performed and/or the products </w:t>
      </w:r>
      <w:r w:rsidR="00C55F24">
        <w:t>requested. The requirements should</w:t>
      </w:r>
      <w:r>
        <w:t xml:space="preserve"> be defined sufficiently for the contractor to submit a realistic proposal and the Government to negotiate a meaningful price.</w:t>
      </w:r>
      <w:r w:rsidR="00CA41F5" w:rsidRPr="00CA41F5">
        <w:t xml:space="preserve"> </w:t>
      </w:r>
      <w:r w:rsidR="00CA41F5">
        <w:t>If the work can conveniently be broken out by CIO-SP3 Task Areas, these can be included in the section title, but not necessary to do so.</w:t>
      </w:r>
    </w:p>
    <w:p w:rsidR="00B9601E" w:rsidRDefault="00B9601E">
      <w:pPr>
        <w:pStyle w:val="Instruction"/>
      </w:pPr>
    </w:p>
    <w:p w:rsidR="00B9601E" w:rsidRDefault="00B9601E">
      <w:pPr>
        <w:pStyle w:val="Instruction"/>
      </w:pPr>
      <w:r>
        <w:t>EXAMPLE:</w:t>
      </w:r>
    </w:p>
    <w:p w:rsidR="00B9601E" w:rsidRDefault="00B9601E">
      <w:pPr>
        <w:pStyle w:val="Instruction"/>
      </w:pPr>
      <w:r>
        <w:t>5.2.1 Subtask 1 - Requirements Definition</w:t>
      </w:r>
    </w:p>
    <w:p w:rsidR="00B9601E" w:rsidRDefault="00B9601E">
      <w:pPr>
        <w:pStyle w:val="Instruction"/>
      </w:pPr>
      <w:r>
        <w:t>5.2.2 Subtask 2 - State-of-the-Art-Review</w:t>
      </w:r>
    </w:p>
    <w:p w:rsidR="00B9601E" w:rsidRDefault="00B9601E">
      <w:pPr>
        <w:pStyle w:val="Instruction"/>
      </w:pPr>
      <w:r>
        <w:t>5.2.3 Subtask 3 - Design Prototype</w:t>
      </w:r>
    </w:p>
    <w:p w:rsidR="00B9601E" w:rsidRDefault="00B9601E">
      <w:pPr>
        <w:pStyle w:val="Instruction"/>
      </w:pPr>
      <w:r>
        <w:t>5. 2.4 Subtask 4 - Integrate Prototype</w:t>
      </w:r>
    </w:p>
    <w:p w:rsidR="00B9601E" w:rsidRDefault="00B9601E">
      <w:pPr>
        <w:pStyle w:val="Instruction"/>
      </w:pPr>
      <w:r>
        <w:t>5.2.5 Subtask 5 - Document Prototype</w:t>
      </w:r>
    </w:p>
    <w:p w:rsidR="00B9601E" w:rsidRDefault="00B9601E">
      <w:pPr>
        <w:pStyle w:val="Instruction"/>
      </w:pPr>
      <w:r>
        <w:t>5.2.6 Subtask 6 - Train Staff to Use Program</w:t>
      </w:r>
    </w:p>
    <w:p w:rsidR="00B9601E" w:rsidRDefault="00B9601E">
      <w:pPr>
        <w:pStyle w:val="Instruction"/>
      </w:pPr>
      <w:r>
        <w:t>5.2.7 Subtask 7 - Participate in Joint Prototype Evaluation</w:t>
      </w:r>
    </w:p>
    <w:p w:rsidR="00B9601E" w:rsidRDefault="00B9601E">
      <w:pPr>
        <w:pStyle w:val="Instruction"/>
      </w:pPr>
      <w:r>
        <w:t>5.2.8 Subtask 8 - Document Lessons Learned from Prototype Evaluation</w:t>
      </w:r>
    </w:p>
    <w:p w:rsidR="00B9601E" w:rsidRDefault="00B9601E">
      <w:pPr>
        <w:pStyle w:val="Instruction"/>
      </w:pPr>
      <w:r>
        <w:t xml:space="preserve">5.2.9 Subtask </w:t>
      </w:r>
      <w:r w:rsidR="0081487B">
        <w:t>9</w:t>
      </w:r>
      <w:r>
        <w:t xml:space="preserve"> - Establish Baseline Hardware and Software Configuration</w:t>
      </w:r>
    </w:p>
    <w:p w:rsidR="00B9601E" w:rsidRDefault="00B9601E">
      <w:pPr>
        <w:pStyle w:val="Heading1"/>
      </w:pPr>
      <w:r>
        <w:t>Contract Type</w:t>
      </w:r>
    </w:p>
    <w:p w:rsidR="00B9601E" w:rsidRDefault="00B9601E">
      <w:pPr>
        <w:pStyle w:val="Instruction"/>
        <w:jc w:val="both"/>
      </w:pPr>
      <w:r>
        <w:t xml:space="preserve">State the </w:t>
      </w:r>
      <w:r w:rsidR="00254145">
        <w:t xml:space="preserve">contemplated </w:t>
      </w:r>
      <w:r>
        <w:t>contract type</w:t>
      </w:r>
      <w:r w:rsidR="009F5E50">
        <w:t>. The general categories are:</w:t>
      </w:r>
    </w:p>
    <w:p w:rsidR="009F5E50" w:rsidRDefault="009F5E50">
      <w:pPr>
        <w:pStyle w:val="Instruction"/>
        <w:jc w:val="both"/>
      </w:pPr>
    </w:p>
    <w:p w:rsidR="009F5E50" w:rsidRDefault="009F5E50" w:rsidP="009F5E50">
      <w:pPr>
        <w:pStyle w:val="Instruction"/>
        <w:numPr>
          <w:ilvl w:val="0"/>
          <w:numId w:val="43"/>
        </w:numPr>
        <w:jc w:val="both"/>
      </w:pPr>
      <w:r>
        <w:t xml:space="preserve">Fixed Price, see </w:t>
      </w:r>
      <w:hyperlink r:id="rId8" w:history="1">
        <w:r w:rsidRPr="009F5E50">
          <w:rPr>
            <w:rStyle w:val="Hyperlink"/>
          </w:rPr>
          <w:t>FAR Subpart 16.2</w:t>
        </w:r>
      </w:hyperlink>
      <w:r>
        <w:t xml:space="preserve"> for the full list of types.</w:t>
      </w:r>
    </w:p>
    <w:p w:rsidR="009F5E50" w:rsidRDefault="009F5E50" w:rsidP="009F5E50">
      <w:pPr>
        <w:pStyle w:val="Instruction"/>
        <w:numPr>
          <w:ilvl w:val="0"/>
          <w:numId w:val="43"/>
        </w:numPr>
        <w:jc w:val="both"/>
      </w:pPr>
      <w:r>
        <w:t xml:space="preserve">Cost-Reimbursement, see </w:t>
      </w:r>
      <w:hyperlink r:id="rId9" w:history="1">
        <w:r w:rsidRPr="009F5E50">
          <w:rPr>
            <w:rStyle w:val="Hyperlink"/>
          </w:rPr>
          <w:t>FAR Subpart 16.3</w:t>
        </w:r>
      </w:hyperlink>
      <w:r>
        <w:t xml:space="preserve"> for the full list of types</w:t>
      </w:r>
    </w:p>
    <w:p w:rsidR="009F5E50" w:rsidRDefault="009F5E50" w:rsidP="009F5E50">
      <w:pPr>
        <w:pStyle w:val="Instruction"/>
        <w:numPr>
          <w:ilvl w:val="0"/>
          <w:numId w:val="43"/>
        </w:numPr>
        <w:jc w:val="both"/>
      </w:pPr>
      <w:r w:rsidRPr="009F5E50">
        <w:t>Time-and-Materials</w:t>
      </w:r>
      <w:r w:rsidR="00225B73">
        <w:t xml:space="preserve"> or</w:t>
      </w:r>
      <w:r w:rsidRPr="009F5E50">
        <w:t xml:space="preserve"> </w:t>
      </w:r>
      <w:r w:rsidR="00225B73">
        <w:t>Labor-Hour</w:t>
      </w:r>
      <w:r>
        <w:t xml:space="preserve">, see </w:t>
      </w:r>
      <w:hyperlink r:id="rId10" w:history="1">
        <w:r w:rsidRPr="009F5E50">
          <w:rPr>
            <w:rStyle w:val="Hyperlink"/>
          </w:rPr>
          <w:t>FAR Subpart 16.6</w:t>
        </w:r>
      </w:hyperlink>
      <w:r>
        <w:t xml:space="preserve"> for the full list of types.</w:t>
      </w:r>
    </w:p>
    <w:p w:rsidR="00B9601E" w:rsidRDefault="00B9601E">
      <w:pPr>
        <w:pStyle w:val="Heading1"/>
      </w:pPr>
      <w:r>
        <w:t>Place of Performance</w:t>
      </w:r>
    </w:p>
    <w:p w:rsidR="00B9601E" w:rsidRDefault="00B9601E">
      <w:pPr>
        <w:pStyle w:val="Instruction"/>
      </w:pPr>
      <w:r>
        <w:t>Specify whether work is to be performed at the contractor site or at a Government Site.</w:t>
      </w:r>
    </w:p>
    <w:p w:rsidR="00B9601E" w:rsidRDefault="00B9601E">
      <w:pPr>
        <w:pStyle w:val="Heading1"/>
      </w:pPr>
      <w:r>
        <w:lastRenderedPageBreak/>
        <w:t>Period of Performance</w:t>
      </w:r>
    </w:p>
    <w:p w:rsidR="00B9601E" w:rsidRDefault="00B9601E">
      <w:pPr>
        <w:pStyle w:val="Instruction"/>
        <w:jc w:val="both"/>
      </w:pPr>
      <w:r>
        <w:t>State the total number of calendar days after the Task Order award ne</w:t>
      </w:r>
      <w:r w:rsidR="00AB3328">
        <w:t>cessary for performance.  State</w:t>
      </w:r>
      <w:r>
        <w:t xml:space="preserve"> if the task order is to be awarded with a base period and options.  If the task order is to be awarded and funded incrementally</w:t>
      </w:r>
      <w:r w:rsidR="00AB3328">
        <w:t>,</w:t>
      </w:r>
      <w:r>
        <w:t xml:space="preserve"> state the base obligation period and incremental funding periods.</w:t>
      </w:r>
    </w:p>
    <w:p w:rsidR="00B9601E" w:rsidRDefault="00B9601E">
      <w:pPr>
        <w:pStyle w:val="Heading1"/>
      </w:pPr>
      <w:r>
        <w:t>Deliverables/Delivery Schedule</w:t>
      </w:r>
    </w:p>
    <w:p w:rsidR="00B9601E" w:rsidRDefault="00B9601E">
      <w:pPr>
        <w:pStyle w:val="Instruction"/>
        <w:jc w:val="both"/>
      </w:pPr>
      <w:r>
        <w:t xml:space="preserve">Describe precisely the items to be delivered, both during the period of performance and at completion of the task order.  </w:t>
      </w:r>
      <w:r w:rsidR="00C55F24">
        <w:t xml:space="preserve">Deliverables should be </w:t>
      </w:r>
      <w:r w:rsidR="00BC6C20">
        <w:t>referenced</w:t>
      </w:r>
      <w:r w:rsidR="00C55F24">
        <w:t xml:space="preserve"> back to </w:t>
      </w:r>
      <w:r w:rsidR="00BC6C20">
        <w:t xml:space="preserve">their requirement in the Specific Tasks section. </w:t>
      </w:r>
      <w:r>
        <w:t xml:space="preserve">Describe the schedule either in terms of calendar days from the date of Task Order award or in calendar days when other projects or program elements are dependent on the delivery (e.g., 10 calendar days after draft plan is approved).  The table below provides an example list of deliverables. </w:t>
      </w:r>
    </w:p>
    <w:p w:rsidR="00B9601E" w:rsidRDefault="00B9601E">
      <w:pPr>
        <w:jc w:val="center"/>
      </w:pPr>
      <w:r>
        <w:t> </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3067"/>
        <w:gridCol w:w="3643"/>
      </w:tblGrid>
      <w:tr w:rsidR="00B9601E">
        <w:trPr>
          <w:jc w:val="center"/>
        </w:trPr>
        <w:tc>
          <w:tcPr>
            <w:tcW w:w="1456" w:type="dxa"/>
          </w:tcPr>
          <w:p w:rsidR="00B9601E" w:rsidRDefault="00B9601E">
            <w:pPr>
              <w:spacing w:before="60" w:after="60"/>
              <w:jc w:val="center"/>
              <w:rPr>
                <w:i/>
                <w:iCs/>
              </w:rPr>
            </w:pPr>
            <w:r>
              <w:rPr>
                <w:i/>
                <w:iCs/>
              </w:rPr>
              <w:t>SOW TASK #</w:t>
            </w:r>
          </w:p>
        </w:tc>
        <w:tc>
          <w:tcPr>
            <w:tcW w:w="3067" w:type="dxa"/>
          </w:tcPr>
          <w:p w:rsidR="00B9601E" w:rsidRDefault="00B9601E">
            <w:pPr>
              <w:spacing w:before="60" w:after="60"/>
              <w:jc w:val="center"/>
            </w:pPr>
            <w:r>
              <w:rPr>
                <w:i/>
                <w:iCs/>
              </w:rPr>
              <w:t>DELIVERABLE TITLE</w:t>
            </w:r>
          </w:p>
        </w:tc>
        <w:tc>
          <w:tcPr>
            <w:tcW w:w="3643" w:type="dxa"/>
          </w:tcPr>
          <w:p w:rsidR="00B9601E" w:rsidRDefault="00B9601E">
            <w:pPr>
              <w:spacing w:before="60" w:after="60"/>
              <w:jc w:val="center"/>
            </w:pPr>
            <w:r>
              <w:rPr>
                <w:i/>
                <w:iCs/>
              </w:rPr>
              <w:t>#CALENDAR DAYS AFTER TO AWARD</w:t>
            </w:r>
          </w:p>
        </w:tc>
      </w:tr>
      <w:tr w:rsidR="00B9601E">
        <w:trPr>
          <w:jc w:val="center"/>
        </w:trPr>
        <w:tc>
          <w:tcPr>
            <w:tcW w:w="1456" w:type="dxa"/>
          </w:tcPr>
          <w:p w:rsidR="00B9601E" w:rsidRDefault="00BC6C20">
            <w:pPr>
              <w:spacing w:before="60" w:after="60"/>
              <w:jc w:val="center"/>
            </w:pPr>
            <w:r>
              <w:rPr>
                <w:i/>
                <w:iCs/>
              </w:rPr>
              <w:t>5.</w:t>
            </w:r>
            <w:r w:rsidR="00B9601E">
              <w:rPr>
                <w:i/>
                <w:iCs/>
              </w:rPr>
              <w:t>1</w:t>
            </w:r>
          </w:p>
        </w:tc>
        <w:tc>
          <w:tcPr>
            <w:tcW w:w="3067" w:type="dxa"/>
          </w:tcPr>
          <w:p w:rsidR="00B9601E" w:rsidRDefault="00B9601E">
            <w:pPr>
              <w:spacing w:before="60" w:after="60"/>
            </w:pPr>
            <w:r>
              <w:rPr>
                <w:i/>
                <w:iCs/>
              </w:rPr>
              <w:t xml:space="preserve">Task Order Management Plan </w:t>
            </w:r>
          </w:p>
        </w:tc>
        <w:tc>
          <w:tcPr>
            <w:tcW w:w="3643" w:type="dxa"/>
          </w:tcPr>
          <w:p w:rsidR="00B9601E" w:rsidRDefault="00B9601E">
            <w:pPr>
              <w:spacing w:before="60" w:after="60"/>
            </w:pPr>
            <w:r>
              <w:rPr>
                <w:i/>
                <w:iCs/>
              </w:rPr>
              <w:t>Draft - 15, Final - 30</w:t>
            </w:r>
          </w:p>
        </w:tc>
      </w:tr>
      <w:tr w:rsidR="00B9601E">
        <w:trPr>
          <w:jc w:val="center"/>
        </w:trPr>
        <w:tc>
          <w:tcPr>
            <w:tcW w:w="1456" w:type="dxa"/>
          </w:tcPr>
          <w:p w:rsidR="00B9601E" w:rsidRDefault="00BC6C20">
            <w:pPr>
              <w:spacing w:before="60" w:after="60"/>
              <w:jc w:val="center"/>
            </w:pPr>
            <w:r>
              <w:t>5.1.</w:t>
            </w:r>
            <w:r w:rsidR="00B9601E">
              <w:t>2</w:t>
            </w:r>
          </w:p>
        </w:tc>
        <w:tc>
          <w:tcPr>
            <w:tcW w:w="3067" w:type="dxa"/>
          </w:tcPr>
          <w:p w:rsidR="00B9601E" w:rsidRDefault="00BC6C20">
            <w:pPr>
              <w:spacing w:before="60" w:after="60"/>
            </w:pPr>
            <w:r>
              <w:rPr>
                <w:i/>
                <w:iCs/>
              </w:rPr>
              <w:t xml:space="preserve">Monthly </w:t>
            </w:r>
            <w:r w:rsidR="00B9601E">
              <w:rPr>
                <w:i/>
                <w:iCs/>
              </w:rPr>
              <w:t>Status Report</w:t>
            </w:r>
          </w:p>
        </w:tc>
        <w:tc>
          <w:tcPr>
            <w:tcW w:w="3643" w:type="dxa"/>
          </w:tcPr>
          <w:p w:rsidR="00B9601E" w:rsidRDefault="00B9601E">
            <w:pPr>
              <w:spacing w:before="60" w:after="60"/>
            </w:pPr>
            <w:r>
              <w:rPr>
                <w:i/>
                <w:iCs/>
              </w:rPr>
              <w:t>Monthly, on 10th calendar day</w:t>
            </w:r>
          </w:p>
        </w:tc>
      </w:tr>
      <w:tr w:rsidR="00B9601E">
        <w:trPr>
          <w:cantSplit/>
          <w:jc w:val="center"/>
        </w:trPr>
        <w:tc>
          <w:tcPr>
            <w:tcW w:w="8166" w:type="dxa"/>
            <w:gridSpan w:val="3"/>
          </w:tcPr>
          <w:p w:rsidR="00B9601E" w:rsidRDefault="00B9601E">
            <w:pPr>
              <w:spacing w:before="60" w:after="60"/>
              <w:rPr>
                <w:i/>
                <w:iCs/>
              </w:rPr>
            </w:pPr>
            <w:r>
              <w:rPr>
                <w:i/>
                <w:iCs/>
              </w:rPr>
              <w:t>(Continue as needed to document all deliverables)</w:t>
            </w:r>
          </w:p>
        </w:tc>
      </w:tr>
    </w:tbl>
    <w:p w:rsidR="00B9601E" w:rsidRDefault="00B9601E">
      <w:pPr>
        <w:pStyle w:val="Heading1"/>
      </w:pPr>
      <w:r>
        <w:t>Security</w:t>
      </w:r>
    </w:p>
    <w:p w:rsidR="002050AD" w:rsidRDefault="00AB3328" w:rsidP="002050AD">
      <w:pPr>
        <w:pStyle w:val="Instruction"/>
      </w:pPr>
      <w:r>
        <w:t>C</w:t>
      </w:r>
      <w:r w:rsidR="001A0337" w:rsidRPr="001A0337">
        <w:t>ustomers should craft this section to be compliant with the security requirements and guidance of their agencies.</w:t>
      </w:r>
      <w:r w:rsidR="005D2752">
        <w:t xml:space="preserve">  </w:t>
      </w:r>
      <w:r w:rsidR="002050AD">
        <w:t>Other security requirements may also apply and the customer is responsible for defining these additional requirements in their solicitation.</w:t>
      </w:r>
    </w:p>
    <w:p w:rsidR="00B9601E" w:rsidRDefault="00B9601E">
      <w:pPr>
        <w:pStyle w:val="Heading2"/>
      </w:pPr>
      <w:r>
        <w:t>Confidential Treatment of Sensitive Information</w:t>
      </w:r>
    </w:p>
    <w:p w:rsidR="007A30BC" w:rsidRPr="00723663" w:rsidRDefault="00723663" w:rsidP="00723663">
      <w:pPr>
        <w:pStyle w:val="Instruction"/>
      </w:pPr>
      <w:r>
        <w:t>I</w:t>
      </w:r>
      <w:r w:rsidR="00B9601E">
        <w:t>nclude this subsection if the contractor will have access to sensitive information/data during the performance of the task order that needs to be handled confidentially by the contractor.</w:t>
      </w:r>
      <w:r w:rsidR="007A30BC">
        <w:t xml:space="preserve"> </w:t>
      </w:r>
      <w:r w:rsidR="00B9601E">
        <w:t xml:space="preserve"> IF THIS IS NOT APPLICABLE TO THE TASK ORDER, DELETE THIS SUBSECTION.</w:t>
      </w:r>
    </w:p>
    <w:p w:rsidR="004B0FFA" w:rsidRDefault="004B0FFA" w:rsidP="004B0FFA">
      <w:pPr>
        <w:pStyle w:val="Heading2"/>
        <w:numPr>
          <w:ilvl w:val="1"/>
          <w:numId w:val="14"/>
        </w:numPr>
        <w:tabs>
          <w:tab w:val="clear" w:pos="1440"/>
          <w:tab w:val="num" w:pos="720"/>
        </w:tabs>
        <w:ind w:left="720"/>
      </w:pPr>
      <w:r>
        <w:t>System Configuration Security</w:t>
      </w:r>
    </w:p>
    <w:p w:rsidR="004B0FFA" w:rsidRDefault="00723663" w:rsidP="004B0FFA">
      <w:pPr>
        <w:pStyle w:val="BodyText3"/>
        <w:pBdr>
          <w:top w:val="single" w:sz="4" w:space="1" w:color="auto"/>
          <w:left w:val="single" w:sz="4" w:space="4" w:color="auto"/>
          <w:bottom w:val="single" w:sz="4" w:space="1" w:color="auto"/>
          <w:right w:val="single" w:sz="4" w:space="4" w:color="auto"/>
        </w:pBdr>
        <w:jc w:val="left"/>
      </w:pPr>
      <w:r w:rsidRPr="00723663">
        <w:rPr>
          <w:i/>
        </w:rPr>
        <w:t xml:space="preserve">If the services required include configuration of any systems or applications for which there exist Agency Configuration Standards or NIST Security Checklist Standards, then the SOW </w:t>
      </w:r>
      <w:r w:rsidR="00BC6C20">
        <w:rPr>
          <w:i/>
        </w:rPr>
        <w:t>should</w:t>
      </w:r>
      <w:r w:rsidRPr="00723663">
        <w:rPr>
          <w:i/>
        </w:rPr>
        <w:t xml:space="preserve"> require that these configurations conform to the Agency or NIST standard.</w:t>
      </w:r>
      <w:r w:rsidR="004B0FFA">
        <w:t xml:space="preserve">  IF THIS IS NOT APPLICABLE TO THE TASK ORDER, DELETE THIS SUBSECTION.</w:t>
      </w:r>
    </w:p>
    <w:p w:rsidR="004B0FFA" w:rsidRDefault="004B0FFA" w:rsidP="004B0FFA">
      <w:pPr>
        <w:pStyle w:val="BodyText3"/>
        <w:jc w:val="left"/>
      </w:pPr>
    </w:p>
    <w:p w:rsidR="00B9601E" w:rsidRDefault="00B9601E" w:rsidP="00F24D80">
      <w:pPr>
        <w:pStyle w:val="Heading1"/>
      </w:pPr>
      <w:r>
        <w:t>Government Furnished Equipment (GFE)/ Government Furnished Information (GFI)</w:t>
      </w:r>
    </w:p>
    <w:p w:rsidR="00B9601E" w:rsidRDefault="00FF56AF" w:rsidP="00F24D80">
      <w:pPr>
        <w:pStyle w:val="Instruction"/>
        <w:keepNext/>
      </w:pPr>
      <w:r w:rsidRPr="00FF56AF">
        <w:t>Identify any GFE and/or GFI that will be provided to the contractor.  If the list of property is extensive, this section should identify where that list can be found. Before offering to provide any property, make sure that it will be available when required, where required, and in the condition required by the contract. Failure to meet government furnished property requirements often lead to a contractor claim for an equitable adjustment to contract price, delivery, or other requirements. Specific requirements about providing government furnished property can be found in FAR 45, government property, and related agency policy.</w:t>
      </w:r>
    </w:p>
    <w:p w:rsidR="00B9601E" w:rsidRDefault="00B9601E">
      <w:pPr>
        <w:pStyle w:val="Heading1"/>
      </w:pPr>
      <w:r>
        <w:t>Packaging, Packing, and Shipping Instructions</w:t>
      </w:r>
    </w:p>
    <w:p w:rsidR="00B9601E" w:rsidRDefault="00B9601E">
      <w:pPr>
        <w:pStyle w:val="Instruction"/>
      </w:pPr>
      <w:r>
        <w:t>At a minimum, the</w:t>
      </w:r>
      <w:r w:rsidR="00723663">
        <w:t xml:space="preserve"> SOW should state the following standard instructions:</w:t>
      </w:r>
    </w:p>
    <w:p w:rsidR="00723663" w:rsidRDefault="00723663">
      <w:pPr>
        <w:pStyle w:val="BodyText3"/>
      </w:pPr>
    </w:p>
    <w:p w:rsidR="00B9601E" w:rsidRDefault="00B9601E">
      <w:pPr>
        <w:pStyle w:val="BodyText3"/>
      </w:pPr>
      <w:r>
        <w:lastRenderedPageBreak/>
        <w:t>The contractor shall ensure that all items are preserved, packaged, packed and marked in accordance with best commercial practices to meet the packing requirements of the carrier and to ensure safe and timely delivery at the intended destination.  All data and correspondence submitted shall reference:</w:t>
      </w:r>
    </w:p>
    <w:p w:rsidR="00B9601E" w:rsidRDefault="00B9601E">
      <w:r>
        <w:t> </w:t>
      </w:r>
    </w:p>
    <w:p w:rsidR="00B9601E" w:rsidRDefault="00B9601E">
      <w:pPr>
        <w:tabs>
          <w:tab w:val="left" w:pos="360"/>
        </w:tabs>
        <w:ind w:left="360" w:hanging="180"/>
      </w:pPr>
      <w:r>
        <w:t xml:space="preserve">   1.</w:t>
      </w:r>
      <w:r>
        <w:tab/>
        <w:t xml:space="preserve">The </w:t>
      </w:r>
      <w:r w:rsidR="00770600">
        <w:t>CIO-SP3</w:t>
      </w:r>
      <w:r>
        <w:t xml:space="preserve"> Task Order Authorization Number </w:t>
      </w:r>
    </w:p>
    <w:p w:rsidR="00B9601E" w:rsidRDefault="00B9601E">
      <w:pPr>
        <w:tabs>
          <w:tab w:val="left" w:pos="360"/>
        </w:tabs>
        <w:ind w:left="360" w:hanging="180"/>
      </w:pPr>
      <w:r>
        <w:t xml:space="preserve">   2.</w:t>
      </w:r>
      <w:r>
        <w:tab/>
        <w:t xml:space="preserve">The NITAAC Tracking Number </w:t>
      </w:r>
    </w:p>
    <w:p w:rsidR="00B9601E" w:rsidRDefault="00B9601E">
      <w:pPr>
        <w:tabs>
          <w:tab w:val="left" w:pos="360"/>
        </w:tabs>
        <w:ind w:left="360" w:hanging="180"/>
      </w:pPr>
      <w:r>
        <w:t xml:space="preserve">   3.</w:t>
      </w:r>
      <w:r>
        <w:tab/>
        <w:t xml:space="preserve">The government end user agency </w:t>
      </w:r>
    </w:p>
    <w:p w:rsidR="00B9601E" w:rsidRDefault="00B9601E">
      <w:pPr>
        <w:tabs>
          <w:tab w:val="left" w:pos="360"/>
        </w:tabs>
        <w:ind w:left="360" w:hanging="180"/>
      </w:pPr>
      <w:r>
        <w:t xml:space="preserve">   4.</w:t>
      </w:r>
      <w:r>
        <w:tab/>
        <w:t xml:space="preserve">The name of the COTR </w:t>
      </w:r>
    </w:p>
    <w:p w:rsidR="00B9601E" w:rsidRDefault="00B9601E">
      <w:r>
        <w:t> </w:t>
      </w:r>
    </w:p>
    <w:p w:rsidR="00B9601E" w:rsidRDefault="00B9601E">
      <w:r>
        <w:t>Containers shall be clearly marked as follows:</w:t>
      </w:r>
    </w:p>
    <w:p w:rsidR="00B9601E" w:rsidRDefault="00B9601E" w:rsidP="00CF0C45">
      <w:r>
        <w:t> </w:t>
      </w:r>
    </w:p>
    <w:p w:rsidR="00B9601E" w:rsidRDefault="00B9601E">
      <w:pPr>
        <w:tabs>
          <w:tab w:val="left" w:pos="360"/>
        </w:tabs>
        <w:ind w:left="360" w:hanging="180"/>
      </w:pPr>
      <w:r>
        <w:t xml:space="preserve">   1.</w:t>
      </w:r>
      <w:r>
        <w:tab/>
        <w:t xml:space="preserve">Name of contractor </w:t>
      </w:r>
    </w:p>
    <w:p w:rsidR="00B9601E" w:rsidRDefault="00B9601E">
      <w:pPr>
        <w:tabs>
          <w:tab w:val="left" w:pos="360"/>
        </w:tabs>
        <w:ind w:left="360" w:hanging="180"/>
      </w:pPr>
      <w:r>
        <w:t xml:space="preserve">   2.</w:t>
      </w:r>
      <w:r>
        <w:tab/>
        <w:t xml:space="preserve">The </w:t>
      </w:r>
      <w:r w:rsidR="00770600">
        <w:t>CIO-SP3</w:t>
      </w:r>
      <w:r>
        <w:t xml:space="preserve"> Task Order Authorization Number </w:t>
      </w:r>
    </w:p>
    <w:p w:rsidR="00B9601E" w:rsidRDefault="00B9601E">
      <w:pPr>
        <w:tabs>
          <w:tab w:val="left" w:pos="360"/>
        </w:tabs>
        <w:ind w:left="360" w:hanging="180"/>
      </w:pPr>
      <w:r>
        <w:t xml:space="preserve">   3.</w:t>
      </w:r>
      <w:r>
        <w:tab/>
        <w:t xml:space="preserve">The NITAAC Tracking Number </w:t>
      </w:r>
    </w:p>
    <w:p w:rsidR="00B9601E" w:rsidRDefault="00B9601E">
      <w:pPr>
        <w:tabs>
          <w:tab w:val="left" w:pos="360"/>
        </w:tabs>
        <w:ind w:left="360" w:hanging="180"/>
      </w:pPr>
      <w:r>
        <w:t xml:space="preserve">   4.</w:t>
      </w:r>
      <w:r>
        <w:tab/>
        <w:t xml:space="preserve">Description of items contained therein </w:t>
      </w:r>
    </w:p>
    <w:p w:rsidR="00B9601E" w:rsidRDefault="00B9601E">
      <w:pPr>
        <w:tabs>
          <w:tab w:val="left" w:pos="360"/>
        </w:tabs>
        <w:ind w:left="360" w:hanging="180"/>
      </w:pPr>
      <w:r>
        <w:t xml:space="preserve">   5.</w:t>
      </w:r>
      <w:r>
        <w:tab/>
        <w:t xml:space="preserve">Consignee(s) name and address </w:t>
      </w:r>
    </w:p>
    <w:p w:rsidR="00B9601E" w:rsidRDefault="00B9601E">
      <w:r>
        <w:t> </w:t>
      </w:r>
    </w:p>
    <w:p w:rsidR="00B9601E" w:rsidRDefault="00B9601E">
      <w:pPr>
        <w:pStyle w:val="Instruction"/>
      </w:pPr>
      <w:r>
        <w:t>State special requirements if they exceed these requirements.</w:t>
      </w:r>
    </w:p>
    <w:p w:rsidR="00B9601E" w:rsidRDefault="00B9601E">
      <w:pPr>
        <w:pStyle w:val="Heading1"/>
      </w:pPr>
      <w:r>
        <w:t>Inspection and Acceptance Criteria</w:t>
      </w:r>
    </w:p>
    <w:p w:rsidR="00B9601E" w:rsidRDefault="00B9601E" w:rsidP="00723663">
      <w:pPr>
        <w:pStyle w:val="Instruction"/>
        <w:jc w:val="both"/>
      </w:pPr>
      <w:r>
        <w:t xml:space="preserve">At a minimum, the SOW </w:t>
      </w:r>
      <w:r w:rsidR="00D66684">
        <w:t>should</w:t>
      </w:r>
      <w:r>
        <w:t xml:space="preserve"> specify a Final inspection and acceptance of all work performed, reports and other deliverables will be performed at the place of delivery. State special requirements if they exceed the contract requirement.</w:t>
      </w:r>
      <w:r w:rsidR="00442DE3">
        <w:t xml:space="preserve">  A Quality Assurance Surveillance Plan (QASP) </w:t>
      </w:r>
      <w:r w:rsidR="00BC6C20">
        <w:t>should</w:t>
      </w:r>
      <w:r w:rsidR="00442DE3">
        <w:t xml:space="preserve"> be included here, in Section 15, or attached as a separate document (see Section 15).</w:t>
      </w:r>
      <w:r w:rsidR="0056718A">
        <w:t xml:space="preserve">  State here if the Government is requiring offerors to submit a proposed QASP.</w:t>
      </w:r>
    </w:p>
    <w:p w:rsidR="00B9601E" w:rsidRDefault="00B9601E">
      <w:pPr>
        <w:pStyle w:val="Heading1"/>
      </w:pPr>
      <w:r>
        <w:t>Accounting and Appropriation Data</w:t>
      </w:r>
    </w:p>
    <w:p w:rsidR="00B9601E" w:rsidRDefault="00B9601E" w:rsidP="00723663">
      <w:pPr>
        <w:pStyle w:val="Instruction"/>
        <w:jc w:val="both"/>
      </w:pPr>
      <w:r>
        <w:t>A statement must be made that funds are available for this task order or will become available prior to award.  If funds are to be provided from the next fiscal year a statement that the task order is subject to availability of funds must be made in the task order request.</w:t>
      </w:r>
    </w:p>
    <w:p w:rsidR="00B9601E" w:rsidRDefault="00B9601E">
      <w:pPr>
        <w:pStyle w:val="Heading1"/>
      </w:pPr>
      <w:r>
        <w:t>Other Pertinent Information or Special Considerations</w:t>
      </w:r>
    </w:p>
    <w:p w:rsidR="00B9601E" w:rsidRDefault="00B9601E" w:rsidP="00723663">
      <w:pPr>
        <w:pStyle w:val="Instruction"/>
        <w:jc w:val="both"/>
      </w:pPr>
      <w:r>
        <w:t xml:space="preserve">Include any special considerations or unique requirements necessary to accomplish the task order (e.g., specialized experience with UNIX etc.) and/or any additional information that will be helpful in determining reasonable approaches and cost estimates for the task order.  As appropriate, this section </w:t>
      </w:r>
      <w:r w:rsidR="00BC6C20">
        <w:t>should</w:t>
      </w:r>
      <w:r>
        <w:t xml:space="preserve"> contain:</w:t>
      </w:r>
    </w:p>
    <w:p w:rsidR="00B9601E" w:rsidRDefault="00B9601E" w:rsidP="00723663">
      <w:pPr>
        <w:pStyle w:val="Instruction"/>
        <w:jc w:val="both"/>
      </w:pPr>
      <w:r>
        <w:t> </w:t>
      </w:r>
    </w:p>
    <w:p w:rsidR="00B9601E" w:rsidRDefault="00B9601E" w:rsidP="00723663">
      <w:pPr>
        <w:pStyle w:val="Instruction"/>
        <w:numPr>
          <w:ilvl w:val="0"/>
          <w:numId w:val="11"/>
        </w:numPr>
        <w:spacing w:after="120"/>
        <w:ind w:left="360" w:hanging="360"/>
        <w:jc w:val="both"/>
      </w:pPr>
      <w:r>
        <w:t xml:space="preserve">Identification of possible follow-on work that may result from completion of this task order. </w:t>
      </w:r>
    </w:p>
    <w:p w:rsidR="00B9601E" w:rsidRDefault="00B9601E" w:rsidP="00723663">
      <w:pPr>
        <w:pStyle w:val="Instruction"/>
        <w:numPr>
          <w:ilvl w:val="0"/>
          <w:numId w:val="11"/>
        </w:numPr>
        <w:spacing w:after="120"/>
        <w:ind w:left="360" w:hanging="360"/>
        <w:jc w:val="both"/>
      </w:pPr>
      <w:r>
        <w:t xml:space="preserve">Identification of potential Conflicts of Interest (COI’s) that may influence which contractors should be awarded the task order. (See </w:t>
      </w:r>
      <w:hyperlink r:id="rId11" w:history="1">
        <w:r w:rsidR="00225B73" w:rsidRPr="00225B73">
          <w:rPr>
            <w:rStyle w:val="Hyperlink"/>
          </w:rPr>
          <w:t>FAR Subpart 9.5</w:t>
        </w:r>
      </w:hyperlink>
      <w:r>
        <w:t xml:space="preserve">) </w:t>
      </w:r>
    </w:p>
    <w:p w:rsidR="00B9601E" w:rsidRDefault="00B9601E" w:rsidP="00723663">
      <w:pPr>
        <w:pStyle w:val="Instruction"/>
        <w:numPr>
          <w:ilvl w:val="0"/>
          <w:numId w:val="11"/>
        </w:numPr>
        <w:spacing w:after="120"/>
        <w:ind w:left="360" w:hanging="360"/>
        <w:jc w:val="both"/>
      </w:pPr>
      <w:r>
        <w:t xml:space="preserve">Contractor Travel - Describe any local or long distance travel the contractor will have to perform to execute the task order. Identify the </w:t>
      </w:r>
      <w:r w:rsidR="00225B73">
        <w:t>“</w:t>
      </w:r>
      <w:r>
        <w:t>to/from</w:t>
      </w:r>
      <w:r w:rsidR="00225B73">
        <w:t>”</w:t>
      </w:r>
      <w:r>
        <w:t xml:space="preserve"> locations of the travel, numbers and duration of the trip. </w:t>
      </w:r>
    </w:p>
    <w:p w:rsidR="00B9601E" w:rsidRDefault="00B9601E" w:rsidP="00723663">
      <w:pPr>
        <w:pStyle w:val="Instruction"/>
        <w:numPr>
          <w:ilvl w:val="0"/>
          <w:numId w:val="11"/>
        </w:numPr>
        <w:spacing w:after="120"/>
        <w:ind w:left="360" w:hanging="360"/>
        <w:jc w:val="both"/>
      </w:pPr>
      <w:r>
        <w:t xml:space="preserve">Architectural Standards - Describe requirements for compliance with agency architectural standards. </w:t>
      </w:r>
    </w:p>
    <w:p w:rsidR="00B9601E" w:rsidRDefault="00B9601E" w:rsidP="00723663">
      <w:pPr>
        <w:pStyle w:val="Instruction"/>
        <w:numPr>
          <w:ilvl w:val="0"/>
          <w:numId w:val="11"/>
        </w:numPr>
        <w:spacing w:after="120"/>
        <w:ind w:left="360" w:hanging="360"/>
        <w:jc w:val="both"/>
      </w:pPr>
      <w:r>
        <w:t xml:space="preserve">If a fixed price task order is contemplated, specify procedures for reduction of fees or for reductions in the price of the task order when services are not performed or do not meet task order requirements. </w:t>
      </w:r>
    </w:p>
    <w:p w:rsidR="00BC6C20" w:rsidRDefault="002653C7" w:rsidP="00723663">
      <w:pPr>
        <w:pStyle w:val="Instruction"/>
        <w:numPr>
          <w:ilvl w:val="0"/>
          <w:numId w:val="11"/>
        </w:numPr>
        <w:spacing w:after="120"/>
        <w:ind w:left="360" w:hanging="360"/>
        <w:jc w:val="both"/>
      </w:pPr>
      <w:r>
        <w:t xml:space="preserve">Use measurable performance standards (i.e., in terms of quality, timeliness, quantity, etc.) and include performance incentives where appropriate (per </w:t>
      </w:r>
      <w:hyperlink r:id="rId12" w:anchor="wp1074195" w:history="1">
        <w:r w:rsidRPr="00B00E53">
          <w:rPr>
            <w:rStyle w:val="Hyperlink"/>
          </w:rPr>
          <w:t>FAR Subpart 37.6</w:t>
        </w:r>
      </w:hyperlink>
      <w:r>
        <w:t xml:space="preserve"> or </w:t>
      </w:r>
      <w:hyperlink r:id="rId13" w:anchor="wp226846" w:history="1">
        <w:r w:rsidRPr="00B00E53">
          <w:rPr>
            <w:rStyle w:val="Hyperlink"/>
          </w:rPr>
          <w:t>FAR Part 46</w:t>
        </w:r>
      </w:hyperlink>
      <w:r>
        <w:t xml:space="preserve">).  All </w:t>
      </w:r>
      <w:r w:rsidR="00723663">
        <w:t xml:space="preserve">Performance-Based </w:t>
      </w:r>
      <w:r>
        <w:t>Task Orders must have a Quality Assurance Surveillance Plan (QASP) submitted with this SOW form</w:t>
      </w:r>
      <w:r w:rsidR="00D66684">
        <w:t>, or a statement that the Government is requiring offerors to submit a proposed QASP as part of their solicitation response.  The QASP may be integrated</w:t>
      </w:r>
      <w:r>
        <w:t xml:space="preserve"> </w:t>
      </w:r>
      <w:r w:rsidR="00D66684">
        <w:t>within</w:t>
      </w:r>
      <w:r>
        <w:t xml:space="preserve"> the SOW or provided as an attachment.  </w:t>
      </w:r>
      <w:r>
        <w:lastRenderedPageBreak/>
        <w:t>(</w:t>
      </w:r>
      <w:r w:rsidR="00145087">
        <w:t xml:space="preserve">A </w:t>
      </w:r>
      <w:r w:rsidR="00770600">
        <w:t>CIO-SP3</w:t>
      </w:r>
      <w:r w:rsidR="00145087">
        <w:t xml:space="preserve"> QASP template and instructions can be downloaded from the NITAAC website at </w:t>
      </w:r>
      <w:hyperlink r:id="rId14" w:history="1">
        <w:r w:rsidR="00695A56" w:rsidRPr="007F58A8">
          <w:rPr>
            <w:rStyle w:val="Hyperlink"/>
          </w:rPr>
          <w:t>http://nitaac.nih.gov/nitaac/tools-templates/cio-sp3/qasp-template</w:t>
        </w:r>
      </w:hyperlink>
      <w:r w:rsidR="00145087">
        <w:t>.</w:t>
      </w:r>
      <w:r w:rsidR="00D66684">
        <w:t>).</w:t>
      </w:r>
    </w:p>
    <w:p w:rsidR="00BC6C20" w:rsidRDefault="00BC6C20" w:rsidP="00723663">
      <w:pPr>
        <w:pStyle w:val="Instruction"/>
        <w:numPr>
          <w:ilvl w:val="0"/>
          <w:numId w:val="11"/>
        </w:numPr>
        <w:spacing w:after="120"/>
        <w:ind w:left="360" w:hanging="360"/>
        <w:jc w:val="both"/>
      </w:pPr>
      <w:r>
        <w:t>The f</w:t>
      </w:r>
      <w:r w:rsidR="002653C7">
        <w:t>ollowing is suggested language for non-performance based services acquisitions where a detailed Quality Assurance Surveillance Plan is not required:</w:t>
      </w:r>
      <w:r w:rsidR="002653C7" w:rsidRPr="007B2CC8">
        <w:t xml:space="preserve"> </w:t>
      </w:r>
    </w:p>
    <w:p w:rsidR="00B9601E" w:rsidRDefault="002653C7" w:rsidP="00BC6C20">
      <w:pPr>
        <w:pStyle w:val="Instruction"/>
        <w:spacing w:after="120"/>
        <w:jc w:val="both"/>
      </w:pPr>
      <w:r w:rsidRPr="00BC6C20">
        <w:rPr>
          <w:b/>
          <w:u w:val="single"/>
        </w:rPr>
        <w:t>Quality Assurance Surveillance Plan</w:t>
      </w:r>
      <w:r w:rsidRPr="00BC6C20">
        <w:rPr>
          <w:b/>
        </w:rPr>
        <w:t>. The COTR will review, for completeness, preliminary or draft products that the Contractor submits, and may return them to the Contractor for correction.  Absence of comments by the COTR will not relieve the Contractor of the responsibility for complying with the requirements of this work statement.  Final approval and acceptance of products required herein shall be by letter of approval and acceptance by the COTR.  The Contractor shall not construe any letter of acknowledgment of receipt of products as a waiver of review, or as an acknowledgment that a product is in conformance with this work statement.  Any approval given during preparation of a product, or approval for shipment shall not guarantee the final acceptance of the completed product.</w:t>
      </w:r>
    </w:p>
    <w:p w:rsidR="00B9601E" w:rsidRDefault="00B9601E">
      <w:pPr>
        <w:pStyle w:val="Heading1"/>
      </w:pPr>
      <w:r>
        <w:t>Post-Award Administration</w:t>
      </w:r>
    </w:p>
    <w:p w:rsidR="00B9601E" w:rsidRDefault="00B9601E">
      <w:pPr>
        <w:pStyle w:val="Instruction"/>
        <w:jc w:val="both"/>
      </w:pPr>
      <w:r>
        <w:t>Discuss monitoring and milestones to be used for evaluation of Prime Contractors progress.  Discuss any formal management systems to be used to monitor the Prime Contractor.  Delineate the timing of periodic status reports.  Include the requirements for Past Performance Evaluations to be completed at least annually and at the end of the task.</w:t>
      </w:r>
    </w:p>
    <w:p w:rsidR="00A4099F" w:rsidRDefault="00A4099F" w:rsidP="00A4099F">
      <w:pPr>
        <w:pStyle w:val="Heading1"/>
      </w:pPr>
      <w:r>
        <w:t>Key Personnel</w:t>
      </w:r>
    </w:p>
    <w:p w:rsidR="00A4099F" w:rsidRDefault="00A4099F" w:rsidP="00A4099F">
      <w:pPr>
        <w:pStyle w:val="Instruction"/>
        <w:jc w:val="both"/>
      </w:pPr>
      <w:r>
        <w:t>If key personnel are to be identified by the contractor (or by the government), add that information here.  The following text can be used as an example</w:t>
      </w:r>
      <w:r w:rsidR="00BA0B24">
        <w:t>.</w:t>
      </w:r>
    </w:p>
    <w:p w:rsidR="00A4099F" w:rsidRDefault="00A4099F" w:rsidP="00A4099F">
      <w:pPr>
        <w:pStyle w:val="Body"/>
      </w:pPr>
    </w:p>
    <w:p w:rsidR="00A4099F" w:rsidRDefault="00A4099F" w:rsidP="00A4099F">
      <w:pPr>
        <w:numPr>
          <w:ilvl w:val="0"/>
          <w:numId w:val="40"/>
        </w:numPr>
        <w:tabs>
          <w:tab w:val="num" w:pos="360"/>
          <w:tab w:val="num" w:pos="810"/>
        </w:tabs>
        <w:ind w:left="360" w:firstLine="0"/>
        <w:jc w:val="both"/>
        <w:rPr>
          <w:szCs w:val="22"/>
        </w:rPr>
      </w:pPr>
      <w:r w:rsidRPr="00B1150A">
        <w:rPr>
          <w:szCs w:val="22"/>
        </w:rPr>
        <w:t>Certain skilled experienced program management and/or technical personnel are essential for accomplishing the work to be performed.  Key personnel shall be identified by name and title/job classification in offeror proposals</w:t>
      </w:r>
      <w:r>
        <w:rPr>
          <w:szCs w:val="22"/>
        </w:rPr>
        <w:t>.</w:t>
      </w:r>
    </w:p>
    <w:p w:rsidR="00A4099F" w:rsidRPr="00B1150A" w:rsidRDefault="00A4099F" w:rsidP="00A4099F">
      <w:pPr>
        <w:tabs>
          <w:tab w:val="num" w:pos="1200"/>
        </w:tabs>
        <w:ind w:left="360"/>
        <w:jc w:val="both"/>
        <w:rPr>
          <w:szCs w:val="22"/>
        </w:rPr>
      </w:pPr>
      <w:r w:rsidRPr="00B1150A">
        <w:rPr>
          <w:szCs w:val="22"/>
        </w:rPr>
        <w:t> </w:t>
      </w:r>
    </w:p>
    <w:p w:rsidR="00A4099F" w:rsidRPr="00C80F9F" w:rsidRDefault="00A4099F" w:rsidP="00A4099F">
      <w:pPr>
        <w:tabs>
          <w:tab w:val="num" w:pos="360"/>
        </w:tabs>
        <w:ind w:left="360"/>
        <w:jc w:val="both"/>
        <w:rPr>
          <w:szCs w:val="22"/>
        </w:rPr>
      </w:pPr>
      <w:r w:rsidRPr="00C80F9F">
        <w:rPr>
          <w:szCs w:val="22"/>
        </w:rPr>
        <w:t>2.   The Contractor agrees that the above key personnel shall not be removed from the contract effort, replaced or added to the contract without a compelling reason and without compliance with paragraphs (3) and (4) hereof.  The Government will not approve substitutions for the sole convenience of the contractor.</w:t>
      </w:r>
    </w:p>
    <w:p w:rsidR="00A4099F" w:rsidRPr="00C80F9F" w:rsidRDefault="00A4099F" w:rsidP="00A4099F">
      <w:pPr>
        <w:tabs>
          <w:tab w:val="num" w:pos="360"/>
        </w:tabs>
        <w:ind w:left="360"/>
        <w:jc w:val="both"/>
        <w:rPr>
          <w:szCs w:val="22"/>
        </w:rPr>
      </w:pPr>
      <w:r w:rsidRPr="00C80F9F">
        <w:rPr>
          <w:szCs w:val="22"/>
        </w:rPr>
        <w:t> </w:t>
      </w:r>
    </w:p>
    <w:p w:rsidR="00A4099F" w:rsidRPr="00C80F9F" w:rsidRDefault="00A4099F" w:rsidP="00A4099F">
      <w:pPr>
        <w:tabs>
          <w:tab w:val="num" w:pos="360"/>
        </w:tabs>
        <w:ind w:left="360"/>
        <w:jc w:val="both"/>
        <w:rPr>
          <w:szCs w:val="22"/>
        </w:rPr>
      </w:pPr>
      <w:r w:rsidRPr="00C80F9F">
        <w:rPr>
          <w:szCs w:val="22"/>
        </w:rPr>
        <w:t xml:space="preserve">3.    If any change to the key personnel position becomes necessary (substitutions or additions), the Contractor shall immediately notify the Contracting Officer in writing, accompanied by the resume of the proposed replacement personnel who shall be of at least substantially equal ability and qualifications as the individuals currently approved for that category.  </w:t>
      </w:r>
    </w:p>
    <w:p w:rsidR="00A4099F" w:rsidRPr="00C80F9F" w:rsidRDefault="00A4099F" w:rsidP="00A4099F">
      <w:pPr>
        <w:tabs>
          <w:tab w:val="num" w:pos="360"/>
        </w:tabs>
        <w:ind w:left="360"/>
        <w:jc w:val="both"/>
        <w:rPr>
          <w:szCs w:val="22"/>
        </w:rPr>
      </w:pPr>
      <w:r w:rsidRPr="00C80F9F">
        <w:rPr>
          <w:szCs w:val="22"/>
        </w:rPr>
        <w:t> </w:t>
      </w:r>
    </w:p>
    <w:p w:rsidR="00A4099F" w:rsidRPr="00C80F9F" w:rsidRDefault="00A4099F" w:rsidP="00A4099F">
      <w:pPr>
        <w:tabs>
          <w:tab w:val="num" w:pos="360"/>
        </w:tabs>
        <w:ind w:left="360"/>
        <w:jc w:val="both"/>
        <w:rPr>
          <w:szCs w:val="22"/>
        </w:rPr>
      </w:pPr>
      <w:r w:rsidRPr="00C80F9F">
        <w:rPr>
          <w:szCs w:val="22"/>
        </w:rPr>
        <w:t>4.    </w:t>
      </w:r>
      <w:r w:rsidRPr="00C80F9F">
        <w:rPr>
          <w:b/>
          <w:bCs/>
          <w:szCs w:val="22"/>
        </w:rPr>
        <w:t>No substitution or replacement</w:t>
      </w:r>
      <w:r w:rsidRPr="00C80F9F">
        <w:rPr>
          <w:szCs w:val="22"/>
        </w:rPr>
        <w:t xml:space="preserve"> of the key personnel shall be approved </w:t>
      </w:r>
      <w:r w:rsidRPr="00C80F9F">
        <w:rPr>
          <w:b/>
          <w:bCs/>
          <w:szCs w:val="22"/>
        </w:rPr>
        <w:t>within the first ninety (90) days</w:t>
      </w:r>
      <w:r w:rsidRPr="00C80F9F">
        <w:rPr>
          <w:szCs w:val="22"/>
        </w:rPr>
        <w:t xml:space="preserve"> after contract award.</w:t>
      </w:r>
    </w:p>
    <w:p w:rsidR="00A4099F" w:rsidRPr="00C80F9F" w:rsidRDefault="00A4099F" w:rsidP="00A4099F">
      <w:pPr>
        <w:tabs>
          <w:tab w:val="num" w:pos="360"/>
        </w:tabs>
        <w:ind w:left="360"/>
        <w:jc w:val="both"/>
        <w:rPr>
          <w:szCs w:val="22"/>
        </w:rPr>
      </w:pPr>
      <w:r w:rsidRPr="00C80F9F">
        <w:rPr>
          <w:szCs w:val="22"/>
        </w:rPr>
        <w:t> </w:t>
      </w:r>
    </w:p>
    <w:p w:rsidR="00A4099F" w:rsidRPr="00C80F9F" w:rsidRDefault="00A4099F" w:rsidP="00A4099F">
      <w:pPr>
        <w:tabs>
          <w:tab w:val="num" w:pos="360"/>
        </w:tabs>
        <w:ind w:left="360"/>
        <w:jc w:val="both"/>
        <w:rPr>
          <w:szCs w:val="22"/>
        </w:rPr>
      </w:pPr>
      <w:r w:rsidRPr="00C80F9F">
        <w:rPr>
          <w:szCs w:val="22"/>
        </w:rPr>
        <w:t>5.   All requests for approval of changes hereunder must be in writing, via email, and provide a detailed explanation of circumstances necessitating the proposed change.  Request for changes should be made whenever the need is identified.  Beside the resume, the request must also provide:</w:t>
      </w:r>
    </w:p>
    <w:p w:rsidR="00A4099F" w:rsidRPr="00C80F9F" w:rsidRDefault="00A4099F" w:rsidP="00A4099F">
      <w:pPr>
        <w:tabs>
          <w:tab w:val="num" w:pos="360"/>
        </w:tabs>
        <w:ind w:left="360"/>
        <w:jc w:val="both"/>
        <w:rPr>
          <w:szCs w:val="22"/>
        </w:rPr>
      </w:pPr>
      <w:r w:rsidRPr="00C80F9F">
        <w:rPr>
          <w:szCs w:val="22"/>
        </w:rPr>
        <w:t> </w:t>
      </w:r>
    </w:p>
    <w:p w:rsidR="00A4099F" w:rsidRPr="00C80F9F" w:rsidRDefault="00A4099F" w:rsidP="00C3360C">
      <w:pPr>
        <w:numPr>
          <w:ilvl w:val="1"/>
          <w:numId w:val="41"/>
        </w:numPr>
        <w:tabs>
          <w:tab w:val="left" w:pos="360"/>
        </w:tabs>
        <w:ind w:left="1080"/>
        <w:jc w:val="both"/>
        <w:rPr>
          <w:szCs w:val="22"/>
        </w:rPr>
      </w:pPr>
      <w:r w:rsidRPr="00C80F9F">
        <w:rPr>
          <w:szCs w:val="22"/>
        </w:rPr>
        <w:t xml:space="preserve">A comparison of skills and qualifications to those set forth in the accepted resume proposed </w:t>
      </w:r>
      <w:r>
        <w:rPr>
          <w:szCs w:val="22"/>
        </w:rPr>
        <w:t>f</w:t>
      </w:r>
      <w:r w:rsidRPr="00C80F9F">
        <w:rPr>
          <w:szCs w:val="22"/>
        </w:rPr>
        <w:t>or substitution;</w:t>
      </w:r>
    </w:p>
    <w:p w:rsidR="00A4099F" w:rsidRPr="00C80F9F" w:rsidRDefault="00A4099F" w:rsidP="00C3360C">
      <w:pPr>
        <w:numPr>
          <w:ilvl w:val="1"/>
          <w:numId w:val="41"/>
        </w:numPr>
        <w:ind w:left="1080"/>
        <w:jc w:val="both"/>
        <w:rPr>
          <w:szCs w:val="22"/>
        </w:rPr>
      </w:pPr>
      <w:r w:rsidRPr="00C80F9F">
        <w:rPr>
          <w:szCs w:val="22"/>
        </w:rPr>
        <w:t>A signed employee procurement integrity agreement;</w:t>
      </w:r>
    </w:p>
    <w:p w:rsidR="00A4099F" w:rsidRPr="00C80F9F" w:rsidRDefault="00A4099F" w:rsidP="00C3360C">
      <w:pPr>
        <w:numPr>
          <w:ilvl w:val="1"/>
          <w:numId w:val="41"/>
        </w:numPr>
        <w:ind w:left="1080"/>
        <w:jc w:val="both"/>
        <w:rPr>
          <w:szCs w:val="22"/>
        </w:rPr>
      </w:pPr>
      <w:r w:rsidRPr="00C80F9F">
        <w:rPr>
          <w:szCs w:val="22"/>
        </w:rPr>
        <w:t xml:space="preserve">Number of hours the contractor will provide at his/her own expense to train the proposed </w:t>
      </w:r>
      <w:r>
        <w:rPr>
          <w:szCs w:val="22"/>
        </w:rPr>
        <w:t>r</w:t>
      </w:r>
      <w:r w:rsidRPr="00C80F9F">
        <w:rPr>
          <w:szCs w:val="22"/>
        </w:rPr>
        <w:t>eplacement, and</w:t>
      </w:r>
    </w:p>
    <w:p w:rsidR="00A4099F" w:rsidRDefault="00A4099F" w:rsidP="00C3360C">
      <w:pPr>
        <w:numPr>
          <w:ilvl w:val="1"/>
          <w:numId w:val="41"/>
        </w:numPr>
        <w:ind w:left="1080"/>
        <w:jc w:val="both"/>
        <w:rPr>
          <w:szCs w:val="22"/>
        </w:rPr>
      </w:pPr>
      <w:r w:rsidRPr="00C80F9F">
        <w:rPr>
          <w:szCs w:val="22"/>
        </w:rPr>
        <w:t>Any other information requested by the Contracting Officer to reach a decision.</w:t>
      </w:r>
    </w:p>
    <w:p w:rsidR="00986A05" w:rsidRDefault="00986A05" w:rsidP="00986A05">
      <w:pPr>
        <w:pStyle w:val="Heading1"/>
      </w:pPr>
      <w:r>
        <w:lastRenderedPageBreak/>
        <w:t>Transition Plan</w:t>
      </w:r>
    </w:p>
    <w:p w:rsidR="00506D8F" w:rsidRDefault="005E7F03">
      <w:pPr>
        <w:pStyle w:val="Instruction"/>
        <w:jc w:val="both"/>
      </w:pPr>
      <w:r>
        <w:t>Discuss</w:t>
      </w:r>
      <w:r w:rsidR="00986A05">
        <w:t xml:space="preserve"> how the work would be transitioned to a different contractor</w:t>
      </w:r>
      <w:r w:rsidR="00FF56AF">
        <w:t xml:space="preserve"> or contract vehicle</w:t>
      </w:r>
      <w:r w:rsidR="00986A05">
        <w:t xml:space="preserve">. </w:t>
      </w:r>
      <w:r>
        <w:t xml:space="preserve">This may include tasking the current contractor to develop a transition plan.  Example content </w:t>
      </w:r>
      <w:r w:rsidR="008516D7">
        <w:t>could</w:t>
      </w:r>
      <w:r>
        <w:t xml:space="preserve"> include</w:t>
      </w:r>
      <w:r w:rsidR="008516D7">
        <w:t xml:space="preserve"> transition schedule; training of new staff; handover of documents, user guides, and other relevant material; security issues (return of badges, tokens, and closing of computer accounts).</w:t>
      </w:r>
      <w:r>
        <w:t xml:space="preserve"> </w:t>
      </w:r>
    </w:p>
    <w:sectPr w:rsidR="00506D8F" w:rsidSect="00765BB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3B" w:rsidRDefault="009D0B3B">
      <w:r>
        <w:separator/>
      </w:r>
    </w:p>
  </w:endnote>
  <w:endnote w:type="continuationSeparator" w:id="0">
    <w:p w:rsidR="009D0B3B" w:rsidRDefault="009D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73" w:rsidRDefault="000E661A">
    <w:pPr>
      <w:pStyle w:val="Footer"/>
      <w:framePr w:wrap="around" w:vAnchor="text" w:hAnchor="margin" w:xAlign="center" w:y="1"/>
      <w:rPr>
        <w:rStyle w:val="PageNumber"/>
      </w:rPr>
    </w:pPr>
    <w:r>
      <w:rPr>
        <w:rStyle w:val="PageNumber"/>
      </w:rPr>
      <w:fldChar w:fldCharType="begin"/>
    </w:r>
    <w:r w:rsidR="00225B73">
      <w:rPr>
        <w:rStyle w:val="PageNumber"/>
      </w:rPr>
      <w:instrText xml:space="preserve">PAGE  </w:instrText>
    </w:r>
    <w:r>
      <w:rPr>
        <w:rStyle w:val="PageNumber"/>
      </w:rPr>
      <w:fldChar w:fldCharType="end"/>
    </w:r>
  </w:p>
  <w:p w:rsidR="00225B73" w:rsidRDefault="00225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73" w:rsidRPr="00171DE3" w:rsidRDefault="00225B73" w:rsidP="00765BB3">
    <w:pPr>
      <w:pStyle w:val="Footer"/>
      <w:tabs>
        <w:tab w:val="clear" w:pos="8640"/>
        <w:tab w:val="right" w:pos="9180"/>
      </w:tabs>
    </w:pPr>
    <w:r w:rsidRPr="00171DE3">
      <w:t>NITAAC</w:t>
    </w:r>
    <w:r w:rsidRPr="00171DE3">
      <w:tab/>
    </w:r>
    <w:r w:rsidR="000E661A" w:rsidRPr="00171DE3">
      <w:rPr>
        <w:rStyle w:val="PageNumber"/>
      </w:rPr>
      <w:fldChar w:fldCharType="begin"/>
    </w:r>
    <w:r w:rsidRPr="00171DE3">
      <w:rPr>
        <w:rStyle w:val="PageNumber"/>
      </w:rPr>
      <w:instrText xml:space="preserve"> PAGE </w:instrText>
    </w:r>
    <w:r w:rsidR="000E661A" w:rsidRPr="00171DE3">
      <w:rPr>
        <w:rStyle w:val="PageNumber"/>
      </w:rPr>
      <w:fldChar w:fldCharType="separate"/>
    </w:r>
    <w:r w:rsidR="008D7C3A">
      <w:rPr>
        <w:rStyle w:val="PageNumber"/>
        <w:noProof/>
      </w:rPr>
      <w:t>2</w:t>
    </w:r>
    <w:r w:rsidR="000E661A" w:rsidRPr="00171DE3">
      <w:rPr>
        <w:rStyle w:val="PageNumber"/>
      </w:rPr>
      <w:fldChar w:fldCharType="end"/>
    </w:r>
    <w:r w:rsidRPr="00171DE3">
      <w:rPr>
        <w:rStyle w:val="PageNumber"/>
      </w:rPr>
      <w:t xml:space="preserve"> of </w:t>
    </w:r>
    <w:r w:rsidR="000E661A" w:rsidRPr="00171DE3">
      <w:rPr>
        <w:rStyle w:val="PageNumber"/>
      </w:rPr>
      <w:fldChar w:fldCharType="begin"/>
    </w:r>
    <w:r w:rsidRPr="00171DE3">
      <w:rPr>
        <w:rStyle w:val="PageNumber"/>
      </w:rPr>
      <w:instrText xml:space="preserve"> NUMPAGES </w:instrText>
    </w:r>
    <w:r w:rsidR="000E661A" w:rsidRPr="00171DE3">
      <w:rPr>
        <w:rStyle w:val="PageNumber"/>
      </w:rPr>
      <w:fldChar w:fldCharType="separate"/>
    </w:r>
    <w:r w:rsidR="008D7C3A">
      <w:rPr>
        <w:rStyle w:val="PageNumber"/>
        <w:noProof/>
      </w:rPr>
      <w:t>6</w:t>
    </w:r>
    <w:r w:rsidR="000E661A" w:rsidRPr="00171DE3">
      <w:rPr>
        <w:rStyle w:val="PageNumber"/>
      </w:rPr>
      <w:fldChar w:fldCharType="end"/>
    </w:r>
    <w:r w:rsidR="00465D27">
      <w:rPr>
        <w:rStyle w:val="PageNumber"/>
      </w:rPr>
      <w:tab/>
      <w:t>CIO-SP3</w:t>
    </w:r>
    <w:r w:rsidRPr="00171DE3">
      <w:rPr>
        <w:rStyle w:val="PageNumber"/>
      </w:rPr>
      <w:t xml:space="preserve"> SOW Template</w:t>
    </w:r>
    <w:r>
      <w:rPr>
        <w:rStyle w:val="PageNumber"/>
      </w:rPr>
      <w:t xml:space="preserve">       </w:t>
    </w:r>
    <w:r w:rsidR="002B5648">
      <w:rPr>
        <w:rStyle w:val="PageNumber"/>
      </w:rPr>
      <w:t>July 11</w:t>
    </w:r>
    <w:r>
      <w:rPr>
        <w:rStyle w:val="PageNumber"/>
      </w:rPr>
      <w:t>, 201</w:t>
    </w:r>
    <w:r w:rsidR="00465D27">
      <w:rPr>
        <w:rStyle w:val="PageNumber"/>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73" w:rsidRPr="00171DE3" w:rsidRDefault="00225B73">
    <w:pPr>
      <w:pStyle w:val="Footer"/>
    </w:pPr>
    <w:r w:rsidRPr="00171DE3">
      <w:t>NITAAC</w:t>
    </w:r>
    <w:r w:rsidRPr="00171DE3">
      <w:tab/>
    </w:r>
    <w:r w:rsidR="000E661A" w:rsidRPr="00171DE3">
      <w:rPr>
        <w:rStyle w:val="PageNumber"/>
      </w:rPr>
      <w:fldChar w:fldCharType="begin"/>
    </w:r>
    <w:r w:rsidRPr="00171DE3">
      <w:rPr>
        <w:rStyle w:val="PageNumber"/>
      </w:rPr>
      <w:instrText xml:space="preserve"> PAGE </w:instrText>
    </w:r>
    <w:r w:rsidR="000E661A" w:rsidRPr="00171DE3">
      <w:rPr>
        <w:rStyle w:val="PageNumber"/>
      </w:rPr>
      <w:fldChar w:fldCharType="separate"/>
    </w:r>
    <w:r>
      <w:rPr>
        <w:rStyle w:val="PageNumber"/>
        <w:noProof/>
      </w:rPr>
      <w:t>14</w:t>
    </w:r>
    <w:r w:rsidR="000E661A" w:rsidRPr="00171DE3">
      <w:rPr>
        <w:rStyle w:val="PageNumber"/>
      </w:rPr>
      <w:fldChar w:fldCharType="end"/>
    </w:r>
    <w:r w:rsidRPr="00171DE3">
      <w:rPr>
        <w:rStyle w:val="PageNumber"/>
      </w:rPr>
      <w:t xml:space="preserve"> of </w:t>
    </w:r>
    <w:r w:rsidR="000E661A" w:rsidRPr="00171DE3">
      <w:rPr>
        <w:rStyle w:val="PageNumber"/>
      </w:rPr>
      <w:fldChar w:fldCharType="begin"/>
    </w:r>
    <w:r w:rsidRPr="00171DE3">
      <w:rPr>
        <w:rStyle w:val="PageNumber"/>
      </w:rPr>
      <w:instrText xml:space="preserve"> NUMPAGES </w:instrText>
    </w:r>
    <w:r w:rsidR="000E661A" w:rsidRPr="00171DE3">
      <w:rPr>
        <w:rStyle w:val="PageNumber"/>
      </w:rPr>
      <w:fldChar w:fldCharType="separate"/>
    </w:r>
    <w:r>
      <w:rPr>
        <w:rStyle w:val="PageNumber"/>
        <w:noProof/>
      </w:rPr>
      <w:t>14</w:t>
    </w:r>
    <w:r w:rsidR="000E661A" w:rsidRPr="00171DE3">
      <w:rPr>
        <w:rStyle w:val="PageNumber"/>
      </w:rPr>
      <w:fldChar w:fldCharType="end"/>
    </w:r>
    <w:r w:rsidRPr="00171DE3">
      <w:rPr>
        <w:rStyle w:val="PageNumber"/>
      </w:rPr>
      <w:tab/>
      <w:t>CIO-SP2</w:t>
    </w:r>
    <w:r w:rsidRPr="00171DE3">
      <w:rPr>
        <w:rStyle w:val="PageNumber"/>
        <w:i/>
      </w:rPr>
      <w:t>i</w:t>
    </w:r>
    <w:r w:rsidRPr="00171DE3">
      <w:rPr>
        <w:rStyle w:val="PageNumber"/>
      </w:rPr>
      <w:t xml:space="preserve"> </w:t>
    </w:r>
    <w:r>
      <w:rPr>
        <w:rStyle w:val="PageNumber"/>
      </w:rPr>
      <w:t>QASP</w:t>
    </w:r>
    <w:r w:rsidRPr="00171DE3">
      <w:rPr>
        <w:rStyle w:val="PageNumber"/>
      </w:rPr>
      <w:t xml:space="preserve"> Template</w:t>
    </w:r>
    <w:r>
      <w:rPr>
        <w:rStyle w:val="PageNumber"/>
      </w:rPr>
      <w:t xml:space="preserve"> June 8,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3B" w:rsidRDefault="009D0B3B">
      <w:r>
        <w:separator/>
      </w:r>
    </w:p>
  </w:footnote>
  <w:footnote w:type="continuationSeparator" w:id="0">
    <w:p w:rsidR="009D0B3B" w:rsidRDefault="009D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72" w:rsidRDefault="00F52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73" w:rsidRDefault="00225B73">
    <w:pPr>
      <w:pStyle w:val="Header"/>
      <w:jc w:val="right"/>
    </w:pPr>
  </w:p>
  <w:p w:rsidR="00225B73" w:rsidRDefault="00225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72" w:rsidRDefault="00F52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7D625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FE1B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2"/>
    <w:multiLevelType w:val="singleLevel"/>
    <w:tmpl w:val="00000002"/>
    <w:lvl w:ilvl="0">
      <w:start w:val="1"/>
      <w:numFmt w:val="decimal"/>
      <w:suff w:val="nothing"/>
      <w:lvlText w:val="(%1)"/>
      <w:lvlJc w:val="left"/>
    </w:lvl>
  </w:abstractNum>
  <w:abstractNum w:abstractNumId="4"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6256AE6"/>
    <w:multiLevelType w:val="hybridMultilevel"/>
    <w:tmpl w:val="A628C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E44EA3"/>
    <w:multiLevelType w:val="hybridMultilevel"/>
    <w:tmpl w:val="251C2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56FBA"/>
    <w:multiLevelType w:val="hybridMultilevel"/>
    <w:tmpl w:val="F0A2FF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B07FE5"/>
    <w:multiLevelType w:val="hybridMultilevel"/>
    <w:tmpl w:val="8A10F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975F7"/>
    <w:multiLevelType w:val="multilevel"/>
    <w:tmpl w:val="9BBCFF8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4CB51C1"/>
    <w:multiLevelType w:val="hybridMultilevel"/>
    <w:tmpl w:val="37BECC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0823"/>
    <w:multiLevelType w:val="multilevel"/>
    <w:tmpl w:val="3C6679F8"/>
    <w:lvl w:ilvl="0">
      <w:start w:val="1"/>
      <w:numFmt w:val="upperLetter"/>
      <w:pStyle w:val="AppendixHeading1"/>
      <w:suff w:val="space"/>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3240"/>
        </w:tabs>
        <w:ind w:left="1008" w:firstLine="1152"/>
      </w:pPr>
      <w:rPr>
        <w:rFonts w:hint="default"/>
      </w:rPr>
    </w:lvl>
    <w:lvl w:ilvl="5">
      <w:start w:val="1"/>
      <w:numFmt w:val="decimal"/>
      <w:lvlText w:val="%1.%2.%3.%4.%5.%6"/>
      <w:lvlJc w:val="left"/>
      <w:pPr>
        <w:tabs>
          <w:tab w:val="num" w:pos="4320"/>
        </w:tabs>
        <w:ind w:left="1152" w:firstLine="1728"/>
      </w:pPr>
      <w:rPr>
        <w:rFonts w:hint="default"/>
      </w:rPr>
    </w:lvl>
    <w:lvl w:ilvl="6">
      <w:start w:val="1"/>
      <w:numFmt w:val="decimal"/>
      <w:lvlText w:val="%1.%2.%3.%4.%5.%6.%7"/>
      <w:lvlJc w:val="left"/>
      <w:pPr>
        <w:tabs>
          <w:tab w:val="num" w:pos="5040"/>
        </w:tabs>
        <w:ind w:left="1296" w:firstLine="2304"/>
      </w:pPr>
      <w:rPr>
        <w:rFonts w:hint="default"/>
      </w:rPr>
    </w:lvl>
    <w:lvl w:ilvl="7">
      <w:start w:val="1"/>
      <w:numFmt w:val="decimal"/>
      <w:lvlText w:val="%1.%2.%3.%4.%5.%6.%7.%8"/>
      <w:lvlJc w:val="left"/>
      <w:pPr>
        <w:tabs>
          <w:tab w:val="num" w:pos="5760"/>
        </w:tabs>
        <w:ind w:left="1440" w:firstLine="288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9CF46A3"/>
    <w:multiLevelType w:val="hybridMultilevel"/>
    <w:tmpl w:val="BA20D0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4853FC"/>
    <w:multiLevelType w:val="multilevel"/>
    <w:tmpl w:val="62A830CC"/>
    <w:lvl w:ilvl="0">
      <w:start w:val="23"/>
      <w:numFmt w:val="decimal"/>
      <w:lvlText w:val="%1."/>
      <w:lvlJc w:val="left"/>
      <w:pPr>
        <w:tabs>
          <w:tab w:val="num" w:pos="576"/>
        </w:tabs>
        <w:ind w:left="576" w:hanging="576"/>
      </w:pPr>
    </w:lvl>
    <w:lvl w:ilvl="1">
      <w:start w:val="11"/>
      <w:numFmt w:val="decimal"/>
      <w:lvlText w:val="%1.%2."/>
      <w:lvlJc w:val="left"/>
      <w:pPr>
        <w:tabs>
          <w:tab w:val="num" w:pos="1152"/>
        </w:tabs>
        <w:ind w:left="1152" w:hanging="576"/>
      </w:pPr>
    </w:lvl>
    <w:lvl w:ilvl="2">
      <w:start w:val="1"/>
      <w:numFmt w:val="decimal"/>
      <w:lvlText w:val="%1.%2.%3."/>
      <w:lvlJc w:val="left"/>
      <w:pPr>
        <w:tabs>
          <w:tab w:val="num" w:pos="2016"/>
        </w:tabs>
        <w:ind w:left="2016" w:hanging="8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C9A7A79"/>
    <w:multiLevelType w:val="hybridMultilevel"/>
    <w:tmpl w:val="73CCC7D0"/>
    <w:lvl w:ilvl="0" w:tplc="05C0F4F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1E0F49B9"/>
    <w:multiLevelType w:val="hybridMultilevel"/>
    <w:tmpl w:val="13C81D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1D1E08"/>
    <w:multiLevelType w:val="multilevel"/>
    <w:tmpl w:val="56E6307A"/>
    <w:lvl w:ilvl="0">
      <w:start w:val="1"/>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8" w15:restartNumberingAfterBreak="0">
    <w:nsid w:val="235E7F83"/>
    <w:multiLevelType w:val="multilevel"/>
    <w:tmpl w:val="C11CCADA"/>
    <w:lvl w:ilvl="0">
      <w:start w:val="1"/>
      <w:numFmt w:val="decimal"/>
      <w:pStyle w:val="Heading1"/>
      <w:suff w:val="nothing"/>
      <w:lvlText w:val="%1.  "/>
      <w:lvlJc w:val="left"/>
      <w:pPr>
        <w:ind w:left="0" w:firstLine="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62F0F21"/>
    <w:multiLevelType w:val="multilevel"/>
    <w:tmpl w:val="7CAE8806"/>
    <w:lvl w:ilvl="0">
      <w:start w:val="1"/>
      <w:numFmt w:val="decimal"/>
      <w:suff w:val="nothing"/>
      <w:lvlText w:val="%1.  "/>
      <w:lvlJc w:val="left"/>
      <w:pPr>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278835EB"/>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1" w15:restartNumberingAfterBreak="0">
    <w:nsid w:val="2CFA33F3"/>
    <w:multiLevelType w:val="hybridMultilevel"/>
    <w:tmpl w:val="6F50D6BC"/>
    <w:lvl w:ilvl="0" w:tplc="B9543DD4">
      <w:start w:val="1"/>
      <w:numFmt w:val="decimal"/>
      <w:lvlText w:val="%1."/>
      <w:lvlJc w:val="left"/>
      <w:pPr>
        <w:tabs>
          <w:tab w:val="num" w:pos="1290"/>
        </w:tabs>
        <w:ind w:left="1290" w:hanging="8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15F49ED"/>
    <w:multiLevelType w:val="hybridMultilevel"/>
    <w:tmpl w:val="B4722540"/>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412D140A"/>
    <w:multiLevelType w:val="multilevel"/>
    <w:tmpl w:val="5E9263D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19F2647"/>
    <w:multiLevelType w:val="multilevel"/>
    <w:tmpl w:val="6472F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5" w15:restartNumberingAfterBreak="0">
    <w:nsid w:val="42D1114E"/>
    <w:multiLevelType w:val="multilevel"/>
    <w:tmpl w:val="64A0B6C6"/>
    <w:lvl w:ilvl="0">
      <w:start w:val="1"/>
      <w:numFmt w:val="decimal"/>
      <w:pStyle w:val="TableTitle"/>
      <w:suff w:val="space"/>
      <w:lvlText w:val="Table %1. "/>
      <w:lvlJc w:val="center"/>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876921"/>
    <w:multiLevelType w:val="hybridMultilevel"/>
    <w:tmpl w:val="ED267BD8"/>
    <w:lvl w:ilvl="0" w:tplc="89C2589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92958"/>
    <w:multiLevelType w:val="hybridMultilevel"/>
    <w:tmpl w:val="4BE2A1C4"/>
    <w:lvl w:ilvl="0" w:tplc="69BE04E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B5780E"/>
    <w:multiLevelType w:val="hybridMultilevel"/>
    <w:tmpl w:val="0240A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2B198F"/>
    <w:multiLevelType w:val="multilevel"/>
    <w:tmpl w:val="DF181886"/>
    <w:lvl w:ilvl="0">
      <w:start w:val="4"/>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4"/>
      <w:numFmt w:val="decimal"/>
      <w:suff w:val="nothing"/>
      <w:lvlText w:val="(%3)"/>
      <w:lvlJc w:val="left"/>
      <w:pPr>
        <w:ind w:left="0" w:firstLine="0"/>
      </w:pPr>
      <w:rPr>
        <w:rFonts w:hint="default"/>
      </w:rPr>
    </w:lvl>
    <w:lvl w:ilvl="3">
      <w:start w:val="4"/>
      <w:numFmt w:val="decimal"/>
      <w:suff w:val="nothing"/>
      <w:lvlText w:val="(%4)"/>
      <w:lvlJc w:val="left"/>
      <w:pPr>
        <w:ind w:left="0" w:firstLine="0"/>
      </w:pPr>
      <w:rPr>
        <w:rFonts w:hint="default"/>
      </w:rPr>
    </w:lvl>
    <w:lvl w:ilvl="4">
      <w:start w:val="4"/>
      <w:numFmt w:val="decimal"/>
      <w:suff w:val="nothing"/>
      <w:lvlText w:val="(%5)"/>
      <w:lvlJc w:val="left"/>
      <w:pPr>
        <w:ind w:left="0" w:firstLine="0"/>
      </w:pPr>
      <w:rPr>
        <w:rFonts w:hint="default"/>
      </w:rPr>
    </w:lvl>
    <w:lvl w:ilvl="5">
      <w:start w:val="4"/>
      <w:numFmt w:val="decimal"/>
      <w:suff w:val="nothing"/>
      <w:lvlText w:val="(%6)"/>
      <w:lvlJc w:val="left"/>
      <w:pPr>
        <w:ind w:left="0" w:firstLine="0"/>
      </w:pPr>
      <w:rPr>
        <w:rFonts w:hint="default"/>
      </w:rPr>
    </w:lvl>
    <w:lvl w:ilvl="6">
      <w:start w:val="4"/>
      <w:numFmt w:val="decimal"/>
      <w:suff w:val="nothing"/>
      <w:lvlText w:val="(%7)"/>
      <w:lvlJc w:val="left"/>
      <w:pPr>
        <w:ind w:left="0" w:firstLine="0"/>
      </w:pPr>
      <w:rPr>
        <w:rFonts w:hint="default"/>
      </w:rPr>
    </w:lvl>
    <w:lvl w:ilvl="7">
      <w:start w:val="4"/>
      <w:numFmt w:val="decimal"/>
      <w:suff w:val="nothing"/>
      <w:lvlText w:val="(%8)"/>
      <w:lvlJc w:val="left"/>
      <w:pPr>
        <w:ind w:left="0" w:firstLine="0"/>
      </w:pPr>
      <w:rPr>
        <w:rFonts w:hint="default"/>
      </w:rPr>
    </w:lvl>
    <w:lvl w:ilvl="8">
      <w:start w:val="4"/>
      <w:numFmt w:val="decimal"/>
      <w:suff w:val="nothing"/>
      <w:lvlText w:val="(%9)"/>
      <w:lvlJc w:val="left"/>
      <w:pPr>
        <w:ind w:left="0" w:firstLine="0"/>
      </w:pPr>
      <w:rPr>
        <w:rFonts w:hint="default"/>
      </w:rPr>
    </w:lvl>
  </w:abstractNum>
  <w:abstractNum w:abstractNumId="30" w15:restartNumberingAfterBreak="0">
    <w:nsid w:val="5F127067"/>
    <w:multiLevelType w:val="hybridMultilevel"/>
    <w:tmpl w:val="D2442E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30C57"/>
    <w:multiLevelType w:val="hybridMultilevel"/>
    <w:tmpl w:val="1480CB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366B20"/>
    <w:multiLevelType w:val="hybridMultilevel"/>
    <w:tmpl w:val="D7A8E288"/>
    <w:lvl w:ilvl="0" w:tplc="89C2589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6FE7"/>
    <w:multiLevelType w:val="hybridMultilevel"/>
    <w:tmpl w:val="A98E1D8C"/>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D5CA4322">
      <w:start w:val="1"/>
      <w:numFmt w:val="lowerLetter"/>
      <w:lvlText w:val="%2."/>
      <w:lvlJc w:val="left"/>
      <w:pPr>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7DD406E4"/>
    <w:multiLevelType w:val="hybridMultilevel"/>
    <w:tmpl w:val="D15C3034"/>
    <w:lvl w:ilvl="0" w:tplc="04090005">
      <w:start w:val="1"/>
      <w:numFmt w:val="bullet"/>
      <w:lvlText w:val=""/>
      <w:lvlJc w:val="left"/>
      <w:pPr>
        <w:tabs>
          <w:tab w:val="num" w:pos="1800"/>
        </w:tabs>
        <w:ind w:left="1800" w:hanging="360"/>
      </w:pPr>
      <w:rPr>
        <w:rFonts w:ascii="Wingdings" w:hAnsi="Wingdings" w:hint="default"/>
      </w:rPr>
    </w:lvl>
    <w:lvl w:ilvl="1" w:tplc="F35E098E">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8"/>
  </w:num>
  <w:num w:numId="3">
    <w:abstractNumId w:val="5"/>
  </w:num>
  <w:num w:numId="4">
    <w:abstractNumId w:val="13"/>
    <w:lvlOverride w:ilvl="0">
      <w:startOverride w:val="2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0"/>
  </w:num>
  <w:num w:numId="8">
    <w:abstractNumId w:val="17"/>
  </w:num>
  <w:num w:numId="9">
    <w:abstractNumId w:val="14"/>
  </w:num>
  <w:num w:numId="10">
    <w:abstractNumId w:val="19"/>
  </w:num>
  <w:num w:numId="11">
    <w:abstractNumId w:val="33"/>
  </w:num>
  <w:num w:numId="12">
    <w:abstractNumId w:val="22"/>
  </w:num>
  <w:num w:numId="13">
    <w:abstractNumId w:val="11"/>
  </w:num>
  <w:num w:numId="14">
    <w:abstractNumId w:val="18"/>
  </w:num>
  <w:num w:numId="15">
    <w:abstractNumId w:val="18"/>
  </w:num>
  <w:num w:numId="16">
    <w:abstractNumId w:val="18"/>
  </w:num>
  <w:num w:numId="17">
    <w:abstractNumId w:val="18"/>
  </w:num>
  <w:num w:numId="18">
    <w:abstractNumId w:val="1"/>
  </w:num>
  <w:num w:numId="19">
    <w:abstractNumId w:val="0"/>
  </w:num>
  <w:num w:numId="20">
    <w:abstractNumId w:val="0"/>
  </w:num>
  <w:num w:numId="21">
    <w:abstractNumId w:val="0"/>
  </w:num>
  <w:num w:numId="22">
    <w:abstractNumId w:val="25"/>
  </w:num>
  <w:num w:numId="23">
    <w:abstractNumId w:val="4"/>
  </w:num>
  <w:num w:numId="24">
    <w:abstractNumId w:val="29"/>
  </w:num>
  <w:num w:numId="25">
    <w:abstractNumId w:val="31"/>
  </w:num>
  <w:num w:numId="26">
    <w:abstractNumId w:val="27"/>
  </w:num>
  <w:num w:numId="27">
    <w:abstractNumId w:val="8"/>
  </w:num>
  <w:num w:numId="28">
    <w:abstractNumId w:val="9"/>
  </w:num>
  <w:num w:numId="29">
    <w:abstractNumId w:val="16"/>
  </w:num>
  <w:num w:numId="30">
    <w:abstractNumId w:val="34"/>
  </w:num>
  <w:num w:numId="31">
    <w:abstractNumId w:val="12"/>
  </w:num>
  <w:num w:numId="32">
    <w:abstractNumId w:val="7"/>
  </w:num>
  <w:num w:numId="33">
    <w:abstractNumId w:val="1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0">
    <w:abstractNumId w:val="21"/>
  </w:num>
  <w:num w:numId="41">
    <w:abstractNumId w:val="30"/>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03"/>
    <w:rsid w:val="000040CA"/>
    <w:rsid w:val="000115B5"/>
    <w:rsid w:val="0002544B"/>
    <w:rsid w:val="00041687"/>
    <w:rsid w:val="000432C7"/>
    <w:rsid w:val="000455D1"/>
    <w:rsid w:val="000648E5"/>
    <w:rsid w:val="00074BFC"/>
    <w:rsid w:val="0009193D"/>
    <w:rsid w:val="000945C0"/>
    <w:rsid w:val="000C168B"/>
    <w:rsid w:val="000C6476"/>
    <w:rsid w:val="000D74C4"/>
    <w:rsid w:val="000E5CC6"/>
    <w:rsid w:val="000E661A"/>
    <w:rsid w:val="00100EFF"/>
    <w:rsid w:val="00116CC8"/>
    <w:rsid w:val="00124842"/>
    <w:rsid w:val="00145087"/>
    <w:rsid w:val="0014537F"/>
    <w:rsid w:val="001607F4"/>
    <w:rsid w:val="00161D77"/>
    <w:rsid w:val="00171DE3"/>
    <w:rsid w:val="00183179"/>
    <w:rsid w:val="00193488"/>
    <w:rsid w:val="001A0337"/>
    <w:rsid w:val="001A1AF9"/>
    <w:rsid w:val="001A3536"/>
    <w:rsid w:val="001A361B"/>
    <w:rsid w:val="001C6F8B"/>
    <w:rsid w:val="001C7C12"/>
    <w:rsid w:val="001D0090"/>
    <w:rsid w:val="001D3C01"/>
    <w:rsid w:val="001D5A22"/>
    <w:rsid w:val="001D766D"/>
    <w:rsid w:val="001E0798"/>
    <w:rsid w:val="001E558E"/>
    <w:rsid w:val="001F7EE3"/>
    <w:rsid w:val="00202BE6"/>
    <w:rsid w:val="002050AD"/>
    <w:rsid w:val="002066D1"/>
    <w:rsid w:val="0021147A"/>
    <w:rsid w:val="00217A0C"/>
    <w:rsid w:val="00225B73"/>
    <w:rsid w:val="00227344"/>
    <w:rsid w:val="00237CDD"/>
    <w:rsid w:val="00245A75"/>
    <w:rsid w:val="00254145"/>
    <w:rsid w:val="00265003"/>
    <w:rsid w:val="002653C7"/>
    <w:rsid w:val="00295D8F"/>
    <w:rsid w:val="002A31B2"/>
    <w:rsid w:val="002B20F2"/>
    <w:rsid w:val="002B2DA9"/>
    <w:rsid w:val="002B5648"/>
    <w:rsid w:val="002B654F"/>
    <w:rsid w:val="002C25F8"/>
    <w:rsid w:val="002C5EAA"/>
    <w:rsid w:val="002E6D85"/>
    <w:rsid w:val="002F1E3A"/>
    <w:rsid w:val="00317BB4"/>
    <w:rsid w:val="00320EF8"/>
    <w:rsid w:val="00332BB5"/>
    <w:rsid w:val="00341030"/>
    <w:rsid w:val="0036409E"/>
    <w:rsid w:val="00367C2A"/>
    <w:rsid w:val="003779EC"/>
    <w:rsid w:val="003866D2"/>
    <w:rsid w:val="00397D6A"/>
    <w:rsid w:val="003B305E"/>
    <w:rsid w:val="003C1775"/>
    <w:rsid w:val="003C37D7"/>
    <w:rsid w:val="003C49D4"/>
    <w:rsid w:val="003C690A"/>
    <w:rsid w:val="003D1EC8"/>
    <w:rsid w:val="003D3DB2"/>
    <w:rsid w:val="003E7435"/>
    <w:rsid w:val="00415D87"/>
    <w:rsid w:val="00417070"/>
    <w:rsid w:val="004205E1"/>
    <w:rsid w:val="00424060"/>
    <w:rsid w:val="0042536A"/>
    <w:rsid w:val="00442DE3"/>
    <w:rsid w:val="0044307F"/>
    <w:rsid w:val="00450CE3"/>
    <w:rsid w:val="00465D27"/>
    <w:rsid w:val="0047375C"/>
    <w:rsid w:val="004819F5"/>
    <w:rsid w:val="004941A1"/>
    <w:rsid w:val="00497167"/>
    <w:rsid w:val="004A3BB3"/>
    <w:rsid w:val="004B0FFA"/>
    <w:rsid w:val="004B3BD5"/>
    <w:rsid w:val="004B5249"/>
    <w:rsid w:val="004C0A4D"/>
    <w:rsid w:val="004C1390"/>
    <w:rsid w:val="004F2381"/>
    <w:rsid w:val="004F6A23"/>
    <w:rsid w:val="005044C6"/>
    <w:rsid w:val="00506D8F"/>
    <w:rsid w:val="005221A4"/>
    <w:rsid w:val="00555249"/>
    <w:rsid w:val="00557047"/>
    <w:rsid w:val="00562DA5"/>
    <w:rsid w:val="00562FCB"/>
    <w:rsid w:val="0056718A"/>
    <w:rsid w:val="005819A0"/>
    <w:rsid w:val="00581ECA"/>
    <w:rsid w:val="00585D8E"/>
    <w:rsid w:val="00592CE9"/>
    <w:rsid w:val="005A00FB"/>
    <w:rsid w:val="005A3A8F"/>
    <w:rsid w:val="005D2752"/>
    <w:rsid w:val="005D4535"/>
    <w:rsid w:val="005D78C2"/>
    <w:rsid w:val="005E4C81"/>
    <w:rsid w:val="005E7F03"/>
    <w:rsid w:val="00600542"/>
    <w:rsid w:val="00644FCC"/>
    <w:rsid w:val="00675F8E"/>
    <w:rsid w:val="00683994"/>
    <w:rsid w:val="00695A56"/>
    <w:rsid w:val="006963B5"/>
    <w:rsid w:val="006A4CC1"/>
    <w:rsid w:val="006A68FF"/>
    <w:rsid w:val="006C3D40"/>
    <w:rsid w:val="006D22CC"/>
    <w:rsid w:val="006E01C3"/>
    <w:rsid w:val="006E3950"/>
    <w:rsid w:val="00711609"/>
    <w:rsid w:val="007232C2"/>
    <w:rsid w:val="00723663"/>
    <w:rsid w:val="0073418F"/>
    <w:rsid w:val="00735425"/>
    <w:rsid w:val="00752345"/>
    <w:rsid w:val="00753E1A"/>
    <w:rsid w:val="0075412A"/>
    <w:rsid w:val="0075768C"/>
    <w:rsid w:val="00765BB3"/>
    <w:rsid w:val="00767D61"/>
    <w:rsid w:val="00770600"/>
    <w:rsid w:val="00771027"/>
    <w:rsid w:val="007750F4"/>
    <w:rsid w:val="00780868"/>
    <w:rsid w:val="007A30BC"/>
    <w:rsid w:val="007C5703"/>
    <w:rsid w:val="007E0564"/>
    <w:rsid w:val="007E37BF"/>
    <w:rsid w:val="007F6B62"/>
    <w:rsid w:val="008054D9"/>
    <w:rsid w:val="00805F58"/>
    <w:rsid w:val="00806726"/>
    <w:rsid w:val="0081331A"/>
    <w:rsid w:val="0081487B"/>
    <w:rsid w:val="00833FE2"/>
    <w:rsid w:val="00834F65"/>
    <w:rsid w:val="008407FB"/>
    <w:rsid w:val="008516D7"/>
    <w:rsid w:val="00855C34"/>
    <w:rsid w:val="00864E1A"/>
    <w:rsid w:val="00865265"/>
    <w:rsid w:val="008751DB"/>
    <w:rsid w:val="008C1C75"/>
    <w:rsid w:val="008C769C"/>
    <w:rsid w:val="008D37F6"/>
    <w:rsid w:val="008D7C3A"/>
    <w:rsid w:val="008E4AE8"/>
    <w:rsid w:val="008E752F"/>
    <w:rsid w:val="00906F40"/>
    <w:rsid w:val="00924910"/>
    <w:rsid w:val="009306B6"/>
    <w:rsid w:val="00933243"/>
    <w:rsid w:val="00935EC1"/>
    <w:rsid w:val="00945FF6"/>
    <w:rsid w:val="009619B0"/>
    <w:rsid w:val="0097114F"/>
    <w:rsid w:val="00974E25"/>
    <w:rsid w:val="009847EB"/>
    <w:rsid w:val="00986A05"/>
    <w:rsid w:val="009A13F1"/>
    <w:rsid w:val="009C0F5D"/>
    <w:rsid w:val="009C3E89"/>
    <w:rsid w:val="009C4AC2"/>
    <w:rsid w:val="009D0B3B"/>
    <w:rsid w:val="009F2D6F"/>
    <w:rsid w:val="009F5BF0"/>
    <w:rsid w:val="009F5E50"/>
    <w:rsid w:val="009F67AF"/>
    <w:rsid w:val="00A070BD"/>
    <w:rsid w:val="00A33C0D"/>
    <w:rsid w:val="00A4099F"/>
    <w:rsid w:val="00A52604"/>
    <w:rsid w:val="00A5625A"/>
    <w:rsid w:val="00A60FFB"/>
    <w:rsid w:val="00A7209A"/>
    <w:rsid w:val="00A83446"/>
    <w:rsid w:val="00A87BF9"/>
    <w:rsid w:val="00AA351E"/>
    <w:rsid w:val="00AB3328"/>
    <w:rsid w:val="00AE5A13"/>
    <w:rsid w:val="00B00BB0"/>
    <w:rsid w:val="00B11DA2"/>
    <w:rsid w:val="00B36560"/>
    <w:rsid w:val="00B41147"/>
    <w:rsid w:val="00B52BD4"/>
    <w:rsid w:val="00B54680"/>
    <w:rsid w:val="00B83F16"/>
    <w:rsid w:val="00B9601E"/>
    <w:rsid w:val="00B96F2A"/>
    <w:rsid w:val="00BA0B24"/>
    <w:rsid w:val="00BB0574"/>
    <w:rsid w:val="00BB3F26"/>
    <w:rsid w:val="00BB52C8"/>
    <w:rsid w:val="00BB6518"/>
    <w:rsid w:val="00BC6C20"/>
    <w:rsid w:val="00BD1EA8"/>
    <w:rsid w:val="00BD681F"/>
    <w:rsid w:val="00BE36E6"/>
    <w:rsid w:val="00C162E8"/>
    <w:rsid w:val="00C254B9"/>
    <w:rsid w:val="00C2571C"/>
    <w:rsid w:val="00C31176"/>
    <w:rsid w:val="00C3360C"/>
    <w:rsid w:val="00C3419A"/>
    <w:rsid w:val="00C52DA4"/>
    <w:rsid w:val="00C55F24"/>
    <w:rsid w:val="00C57408"/>
    <w:rsid w:val="00C750C9"/>
    <w:rsid w:val="00C76511"/>
    <w:rsid w:val="00C81818"/>
    <w:rsid w:val="00C97C40"/>
    <w:rsid w:val="00CA41F5"/>
    <w:rsid w:val="00CB2B13"/>
    <w:rsid w:val="00CB5731"/>
    <w:rsid w:val="00CC0ABB"/>
    <w:rsid w:val="00CC354E"/>
    <w:rsid w:val="00CC5A2D"/>
    <w:rsid w:val="00CD169E"/>
    <w:rsid w:val="00CD3A5A"/>
    <w:rsid w:val="00CD576F"/>
    <w:rsid w:val="00CE125A"/>
    <w:rsid w:val="00CE1645"/>
    <w:rsid w:val="00CE4BF1"/>
    <w:rsid w:val="00CF0C45"/>
    <w:rsid w:val="00CF1770"/>
    <w:rsid w:val="00D01CB3"/>
    <w:rsid w:val="00D14394"/>
    <w:rsid w:val="00D25B32"/>
    <w:rsid w:val="00D3092B"/>
    <w:rsid w:val="00D44C63"/>
    <w:rsid w:val="00D46E12"/>
    <w:rsid w:val="00D56534"/>
    <w:rsid w:val="00D64EAB"/>
    <w:rsid w:val="00D66684"/>
    <w:rsid w:val="00D740C3"/>
    <w:rsid w:val="00D87EC5"/>
    <w:rsid w:val="00D94A3A"/>
    <w:rsid w:val="00DA79D0"/>
    <w:rsid w:val="00DB3438"/>
    <w:rsid w:val="00DC6AC3"/>
    <w:rsid w:val="00DE13A2"/>
    <w:rsid w:val="00E05A29"/>
    <w:rsid w:val="00E111EE"/>
    <w:rsid w:val="00E219C4"/>
    <w:rsid w:val="00E2574C"/>
    <w:rsid w:val="00E63500"/>
    <w:rsid w:val="00E635AB"/>
    <w:rsid w:val="00E66965"/>
    <w:rsid w:val="00E839FE"/>
    <w:rsid w:val="00E8742E"/>
    <w:rsid w:val="00E96F39"/>
    <w:rsid w:val="00EA3635"/>
    <w:rsid w:val="00EB65BD"/>
    <w:rsid w:val="00EC5E62"/>
    <w:rsid w:val="00ED3131"/>
    <w:rsid w:val="00ED4F97"/>
    <w:rsid w:val="00EE1505"/>
    <w:rsid w:val="00EE50FD"/>
    <w:rsid w:val="00EF45FE"/>
    <w:rsid w:val="00F01222"/>
    <w:rsid w:val="00F02C71"/>
    <w:rsid w:val="00F07A2B"/>
    <w:rsid w:val="00F07C51"/>
    <w:rsid w:val="00F220F6"/>
    <w:rsid w:val="00F24D80"/>
    <w:rsid w:val="00F25975"/>
    <w:rsid w:val="00F52172"/>
    <w:rsid w:val="00F62534"/>
    <w:rsid w:val="00F94B11"/>
    <w:rsid w:val="00FA7FD6"/>
    <w:rsid w:val="00FB23F4"/>
    <w:rsid w:val="00FB41D6"/>
    <w:rsid w:val="00FE0C0E"/>
    <w:rsid w:val="00FF56AF"/>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DB34DD-63A4-4FFB-9563-4DBFAF8D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DB"/>
    <w:rPr>
      <w:rFonts w:ascii="Arial" w:hAnsi="Arial"/>
      <w:szCs w:val="24"/>
    </w:rPr>
  </w:style>
  <w:style w:type="paragraph" w:styleId="Heading1">
    <w:name w:val="heading 1"/>
    <w:aliases w:val="Section Title"/>
    <w:basedOn w:val="Normal"/>
    <w:next w:val="Body"/>
    <w:qFormat/>
    <w:rsid w:val="008751DB"/>
    <w:pPr>
      <w:keepNext/>
      <w:numPr>
        <w:numId w:val="14"/>
      </w:numPr>
      <w:pBdr>
        <w:bottom w:val="single" w:sz="4" w:space="1" w:color="FF9900"/>
      </w:pBdr>
      <w:spacing w:before="200" w:after="100"/>
      <w:outlineLvl w:val="0"/>
    </w:pPr>
    <w:rPr>
      <w:b/>
      <w:color w:val="000080"/>
      <w:sz w:val="24"/>
      <w:szCs w:val="20"/>
      <w:u w:color="FFCC00"/>
    </w:rPr>
  </w:style>
  <w:style w:type="paragraph" w:styleId="Heading2">
    <w:name w:val="heading 2"/>
    <w:basedOn w:val="Normal"/>
    <w:next w:val="Body"/>
    <w:autoRedefine/>
    <w:qFormat/>
    <w:rsid w:val="008751DB"/>
    <w:pPr>
      <w:keepNext/>
      <w:numPr>
        <w:ilvl w:val="1"/>
        <w:numId w:val="15"/>
      </w:numPr>
      <w:tabs>
        <w:tab w:val="clear" w:pos="1440"/>
        <w:tab w:val="num" w:pos="720"/>
      </w:tabs>
      <w:spacing w:before="200" w:after="100"/>
      <w:ind w:left="720"/>
      <w:outlineLvl w:val="1"/>
    </w:pPr>
    <w:rPr>
      <w:b/>
      <w:szCs w:val="20"/>
    </w:rPr>
  </w:style>
  <w:style w:type="paragraph" w:styleId="Heading3">
    <w:name w:val="heading 3"/>
    <w:basedOn w:val="Normal"/>
    <w:next w:val="Body"/>
    <w:autoRedefine/>
    <w:qFormat/>
    <w:rsid w:val="00BA0B24"/>
    <w:pPr>
      <w:keepNext/>
      <w:numPr>
        <w:ilvl w:val="2"/>
        <w:numId w:val="16"/>
      </w:numPr>
      <w:tabs>
        <w:tab w:val="clear" w:pos="1440"/>
        <w:tab w:val="num" w:pos="720"/>
      </w:tabs>
      <w:spacing w:before="200" w:after="120"/>
      <w:ind w:left="720"/>
      <w:outlineLvl w:val="2"/>
    </w:pPr>
    <w:rPr>
      <w:b/>
      <w:szCs w:val="20"/>
    </w:rPr>
  </w:style>
  <w:style w:type="paragraph" w:styleId="Heading4">
    <w:name w:val="heading 4"/>
    <w:basedOn w:val="Normal"/>
    <w:next w:val="Body"/>
    <w:autoRedefine/>
    <w:qFormat/>
    <w:rsid w:val="00CF0C45"/>
    <w:pPr>
      <w:keepNext/>
      <w:numPr>
        <w:ilvl w:val="3"/>
        <w:numId w:val="17"/>
      </w:numPr>
      <w:tabs>
        <w:tab w:val="left" w:pos="720"/>
      </w:tabs>
      <w:spacing w:before="200"/>
      <w:ind w:left="0"/>
      <w:outlineLvl w:val="3"/>
    </w:pPr>
    <w:rPr>
      <w:b/>
      <w:szCs w:val="20"/>
    </w:rPr>
  </w:style>
  <w:style w:type="paragraph" w:styleId="Heading5">
    <w:name w:val="heading 5"/>
    <w:basedOn w:val="Normal"/>
    <w:next w:val="Normal"/>
    <w:qFormat/>
    <w:rsid w:val="008751DB"/>
    <w:pPr>
      <w:numPr>
        <w:ilvl w:val="4"/>
        <w:numId w:val="10"/>
      </w:numPr>
      <w:spacing w:before="240" w:after="60"/>
      <w:outlineLvl w:val="4"/>
    </w:pPr>
    <w:rPr>
      <w:b/>
      <w:bCs/>
      <w:i/>
      <w:iCs/>
      <w:sz w:val="26"/>
      <w:szCs w:val="26"/>
    </w:rPr>
  </w:style>
  <w:style w:type="paragraph" w:styleId="Heading6">
    <w:name w:val="heading 6"/>
    <w:basedOn w:val="Normal"/>
    <w:next w:val="Normal"/>
    <w:qFormat/>
    <w:rsid w:val="008751DB"/>
    <w:pPr>
      <w:numPr>
        <w:ilvl w:val="5"/>
        <w:numId w:val="10"/>
      </w:numPr>
      <w:spacing w:before="240" w:after="60"/>
      <w:outlineLvl w:val="5"/>
    </w:pPr>
    <w:rPr>
      <w:b/>
      <w:bCs/>
      <w:sz w:val="22"/>
      <w:szCs w:val="22"/>
    </w:rPr>
  </w:style>
  <w:style w:type="paragraph" w:styleId="Heading7">
    <w:name w:val="heading 7"/>
    <w:basedOn w:val="Normal"/>
    <w:next w:val="Normal"/>
    <w:qFormat/>
    <w:rsid w:val="008751DB"/>
    <w:pPr>
      <w:numPr>
        <w:ilvl w:val="6"/>
        <w:numId w:val="10"/>
      </w:numPr>
      <w:spacing w:before="240" w:after="60"/>
      <w:outlineLvl w:val="6"/>
    </w:pPr>
  </w:style>
  <w:style w:type="paragraph" w:styleId="Heading8">
    <w:name w:val="heading 8"/>
    <w:basedOn w:val="Normal"/>
    <w:next w:val="Normal"/>
    <w:qFormat/>
    <w:rsid w:val="008751DB"/>
    <w:pPr>
      <w:numPr>
        <w:ilvl w:val="7"/>
        <w:numId w:val="10"/>
      </w:numPr>
      <w:spacing w:before="240" w:after="60"/>
      <w:outlineLvl w:val="7"/>
    </w:pPr>
    <w:rPr>
      <w:i/>
      <w:iCs/>
    </w:rPr>
  </w:style>
  <w:style w:type="paragraph" w:styleId="Heading9">
    <w:name w:val="heading 9"/>
    <w:basedOn w:val="Normal"/>
    <w:next w:val="Normal"/>
    <w:qFormat/>
    <w:rsid w:val="008751DB"/>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bllt">
    <w:name w:val="pbllt_"/>
    <w:rsid w:val="008751DB"/>
    <w:rPr>
      <w:rFonts w:ascii="Symbol" w:hAnsi="Symbol"/>
      <w:sz w:val="20"/>
    </w:rPr>
  </w:style>
  <w:style w:type="character" w:styleId="Emphasis">
    <w:name w:val="Emphasis"/>
    <w:qFormat/>
    <w:rsid w:val="008751DB"/>
    <w:rPr>
      <w:i/>
      <w:iCs/>
    </w:rPr>
  </w:style>
  <w:style w:type="paragraph" w:customStyle="1" w:styleId="TableCell">
    <w:name w:val="Table Cell"/>
    <w:basedOn w:val="Normal"/>
    <w:rsid w:val="008751DB"/>
    <w:pPr>
      <w:autoSpaceDE w:val="0"/>
      <w:autoSpaceDN w:val="0"/>
      <w:adjustRightInd w:val="0"/>
      <w:spacing w:before="60" w:after="60"/>
      <w:ind w:left="72" w:right="72"/>
    </w:pPr>
    <w:rPr>
      <w:rFonts w:ascii="Times" w:hAnsi="Times" w:cs="Arial"/>
      <w:color w:val="000000"/>
      <w:szCs w:val="20"/>
    </w:rPr>
  </w:style>
  <w:style w:type="paragraph" w:customStyle="1" w:styleId="TableCellBullet">
    <w:name w:val="Table Cell Bullet"/>
    <w:basedOn w:val="TableCell"/>
    <w:rsid w:val="008751DB"/>
    <w:pPr>
      <w:numPr>
        <w:numId w:val="1"/>
      </w:numPr>
      <w:tabs>
        <w:tab w:val="clear" w:pos="792"/>
        <w:tab w:val="left" w:pos="540"/>
      </w:tabs>
      <w:ind w:left="540" w:hanging="180"/>
    </w:pPr>
  </w:style>
  <w:style w:type="character" w:styleId="Hyperlink">
    <w:name w:val="Hyperlink"/>
    <w:rsid w:val="008751DB"/>
    <w:rPr>
      <w:color w:val="0000FF"/>
      <w:u w:val="single"/>
    </w:rPr>
  </w:style>
  <w:style w:type="paragraph" w:styleId="BodyText">
    <w:name w:val="Body Text"/>
    <w:basedOn w:val="Normal"/>
    <w:rsid w:val="008751DB"/>
    <w:pPr>
      <w:spacing w:after="120"/>
    </w:pPr>
    <w:rPr>
      <w:szCs w:val="20"/>
    </w:rPr>
  </w:style>
  <w:style w:type="paragraph" w:styleId="BodyText2">
    <w:name w:val="Body Text 2"/>
    <w:basedOn w:val="Normal"/>
    <w:rsid w:val="008751DB"/>
    <w:rPr>
      <w:b/>
      <w:bCs/>
    </w:rPr>
  </w:style>
  <w:style w:type="paragraph" w:styleId="BodyTextIndent">
    <w:name w:val="Body Text Indent"/>
    <w:basedOn w:val="Normal"/>
    <w:rsid w:val="008751DB"/>
    <w:pPr>
      <w:spacing w:before="120" w:after="120"/>
      <w:ind w:left="720"/>
    </w:pPr>
    <w:rPr>
      <w:i/>
      <w:iCs/>
    </w:rPr>
  </w:style>
  <w:style w:type="paragraph" w:styleId="Header">
    <w:name w:val="header"/>
    <w:basedOn w:val="Normal"/>
    <w:rsid w:val="008751DB"/>
    <w:pPr>
      <w:tabs>
        <w:tab w:val="center" w:pos="4320"/>
        <w:tab w:val="right" w:pos="8640"/>
      </w:tabs>
    </w:pPr>
  </w:style>
  <w:style w:type="paragraph" w:styleId="Footer">
    <w:name w:val="footer"/>
    <w:basedOn w:val="Normal"/>
    <w:rsid w:val="008751DB"/>
    <w:pPr>
      <w:tabs>
        <w:tab w:val="center" w:pos="4320"/>
        <w:tab w:val="right" w:pos="8640"/>
      </w:tabs>
    </w:pPr>
    <w:rPr>
      <w:szCs w:val="20"/>
    </w:rPr>
  </w:style>
  <w:style w:type="paragraph" w:customStyle="1" w:styleId="Instruction">
    <w:name w:val="Instruction"/>
    <w:basedOn w:val="Normal"/>
    <w:link w:val="InstructionChar"/>
    <w:rsid w:val="008751DB"/>
    <w:pPr>
      <w:pBdr>
        <w:top w:val="single" w:sz="4" w:space="1" w:color="666699"/>
        <w:left w:val="single" w:sz="4" w:space="4" w:color="666699"/>
        <w:bottom w:val="single" w:sz="4" w:space="1" w:color="666699"/>
        <w:right w:val="single" w:sz="4" w:space="4" w:color="666699"/>
      </w:pBdr>
    </w:pPr>
    <w:rPr>
      <w:i/>
    </w:rPr>
  </w:style>
  <w:style w:type="paragraph" w:styleId="NormalWeb">
    <w:name w:val="Normal (Web)"/>
    <w:basedOn w:val="Normal"/>
    <w:rsid w:val="008751DB"/>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8751DB"/>
    <w:rPr>
      <w:color w:val="800080"/>
      <w:u w:val="single"/>
    </w:rPr>
  </w:style>
  <w:style w:type="character" w:styleId="PageNumber">
    <w:name w:val="page number"/>
    <w:basedOn w:val="DefaultParagraphFont"/>
    <w:rsid w:val="008751DB"/>
  </w:style>
  <w:style w:type="paragraph" w:customStyle="1" w:styleId="Level1">
    <w:name w:val="Level 1"/>
    <w:basedOn w:val="Normal"/>
    <w:rsid w:val="008751DB"/>
    <w:pPr>
      <w:widowControl w:val="0"/>
    </w:pPr>
    <w:rPr>
      <w:szCs w:val="20"/>
    </w:rPr>
  </w:style>
  <w:style w:type="paragraph" w:customStyle="1" w:styleId="Level2">
    <w:name w:val="Level 2"/>
    <w:rsid w:val="008751DB"/>
    <w:pPr>
      <w:autoSpaceDE w:val="0"/>
      <w:autoSpaceDN w:val="0"/>
      <w:adjustRightInd w:val="0"/>
      <w:ind w:left="1440"/>
    </w:pPr>
    <w:rPr>
      <w:rFonts w:ascii="Courier 12cpi" w:hAnsi="Courier 12cpi"/>
      <w:sz w:val="24"/>
      <w:szCs w:val="24"/>
    </w:rPr>
  </w:style>
  <w:style w:type="paragraph" w:customStyle="1" w:styleId="ArticleHead">
    <w:name w:val="Article Head"/>
    <w:rsid w:val="008751DB"/>
    <w:pPr>
      <w:autoSpaceDE w:val="0"/>
      <w:autoSpaceDN w:val="0"/>
      <w:adjustRightInd w:val="0"/>
    </w:pPr>
    <w:rPr>
      <w:b/>
      <w:bCs/>
      <w:color w:val="FF0000"/>
      <w:sz w:val="24"/>
    </w:rPr>
  </w:style>
  <w:style w:type="character" w:customStyle="1" w:styleId="SYSHYPERTEXT">
    <w:name w:val="SYS_HYPERTEXT"/>
    <w:rsid w:val="008751DB"/>
    <w:rPr>
      <w:color w:val="0000FF"/>
      <w:u w:val="single"/>
    </w:rPr>
  </w:style>
  <w:style w:type="paragraph" w:styleId="BodyTextIndent2">
    <w:name w:val="Body Text Indent 2"/>
    <w:basedOn w:val="Normal"/>
    <w:rsid w:val="008751DB"/>
    <w:pPr>
      <w:tabs>
        <w:tab w:val="left" w:pos="0"/>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ind w:left="1080"/>
      <w:jc w:val="both"/>
    </w:pPr>
    <w:rPr>
      <w:color w:val="000000"/>
    </w:rPr>
  </w:style>
  <w:style w:type="paragraph" w:customStyle="1" w:styleId="Level4">
    <w:name w:val="Level 4"/>
    <w:basedOn w:val="Normal"/>
    <w:rsid w:val="008751DB"/>
    <w:rPr>
      <w:szCs w:val="20"/>
    </w:rPr>
  </w:style>
  <w:style w:type="paragraph" w:styleId="BodyTextIndent3">
    <w:name w:val="Body Text Indent 3"/>
    <w:basedOn w:val="Normal"/>
    <w:rsid w:val="008751DB"/>
    <w:pPr>
      <w:ind w:left="1440"/>
    </w:pPr>
    <w:rPr>
      <w:color w:val="000000"/>
    </w:rPr>
  </w:style>
  <w:style w:type="paragraph" w:customStyle="1" w:styleId="AppendixHeading1">
    <w:name w:val="Appendix Heading 1"/>
    <w:basedOn w:val="Normal"/>
    <w:next w:val="Normal"/>
    <w:autoRedefine/>
    <w:rsid w:val="008751DB"/>
    <w:pPr>
      <w:pageBreakBefore/>
      <w:numPr>
        <w:numId w:val="13"/>
      </w:numPr>
      <w:pBdr>
        <w:bottom w:val="single" w:sz="4" w:space="1" w:color="FF9900"/>
      </w:pBdr>
      <w:spacing w:after="120"/>
    </w:pPr>
    <w:rPr>
      <w:b/>
      <w:bCs/>
      <w:caps/>
      <w:color w:val="000080"/>
      <w:szCs w:val="20"/>
    </w:rPr>
  </w:style>
  <w:style w:type="paragraph" w:customStyle="1" w:styleId="AppendixHeading2">
    <w:name w:val="Appendix Heading 2"/>
    <w:basedOn w:val="Normal"/>
    <w:next w:val="Normal"/>
    <w:autoRedefine/>
    <w:rsid w:val="008751DB"/>
    <w:pPr>
      <w:spacing w:before="120" w:after="120"/>
    </w:pPr>
    <w:rPr>
      <w:b/>
      <w:caps/>
      <w:szCs w:val="20"/>
    </w:rPr>
  </w:style>
  <w:style w:type="paragraph" w:customStyle="1" w:styleId="AppendixHeading3">
    <w:name w:val="Appendix Heading 3"/>
    <w:basedOn w:val="Normal"/>
    <w:next w:val="Normal"/>
    <w:rsid w:val="008751DB"/>
    <w:pPr>
      <w:keepNext/>
    </w:pPr>
    <w:rPr>
      <w:b/>
      <w:bCs/>
      <w:i/>
      <w:iCs/>
      <w:szCs w:val="20"/>
    </w:rPr>
  </w:style>
  <w:style w:type="paragraph" w:customStyle="1" w:styleId="Body">
    <w:name w:val="Body"/>
    <w:basedOn w:val="Normal"/>
    <w:rsid w:val="008751DB"/>
    <w:pPr>
      <w:spacing w:before="100" w:after="100"/>
    </w:pPr>
    <w:rPr>
      <w:szCs w:val="20"/>
    </w:rPr>
  </w:style>
  <w:style w:type="paragraph" w:styleId="ListBullet">
    <w:name w:val="List Bullet"/>
    <w:basedOn w:val="Normal"/>
    <w:autoRedefine/>
    <w:rsid w:val="008751DB"/>
    <w:rPr>
      <w:szCs w:val="20"/>
    </w:rPr>
  </w:style>
  <w:style w:type="paragraph" w:styleId="ListBullet2">
    <w:name w:val="List Bullet 2"/>
    <w:basedOn w:val="Normal"/>
    <w:autoRedefine/>
    <w:rsid w:val="008751DB"/>
    <w:pPr>
      <w:numPr>
        <w:numId w:val="21"/>
      </w:numPr>
      <w:spacing w:before="100" w:after="100"/>
    </w:pPr>
    <w:rPr>
      <w:szCs w:val="20"/>
    </w:rPr>
  </w:style>
  <w:style w:type="paragraph" w:customStyle="1" w:styleId="TableTitle">
    <w:name w:val="TableTitle"/>
    <w:basedOn w:val="Body"/>
    <w:next w:val="Body"/>
    <w:autoRedefine/>
    <w:rsid w:val="008751DB"/>
    <w:pPr>
      <w:keepNext/>
      <w:numPr>
        <w:numId w:val="22"/>
      </w:numPr>
      <w:spacing w:before="360" w:after="120"/>
      <w:jc w:val="center"/>
    </w:pPr>
    <w:rPr>
      <w:b/>
    </w:rPr>
  </w:style>
  <w:style w:type="paragraph" w:styleId="Title">
    <w:name w:val="Title"/>
    <w:basedOn w:val="Normal"/>
    <w:autoRedefine/>
    <w:qFormat/>
    <w:rsid w:val="008751DB"/>
    <w:pPr>
      <w:spacing w:before="240" w:after="120"/>
      <w:outlineLvl w:val="0"/>
    </w:pPr>
    <w:rPr>
      <w:b/>
      <w:color w:val="000080"/>
      <w:kern w:val="28"/>
      <w:sz w:val="24"/>
      <w:szCs w:val="20"/>
    </w:rPr>
  </w:style>
  <w:style w:type="paragraph" w:styleId="TOC1">
    <w:name w:val="toc 1"/>
    <w:basedOn w:val="Normal"/>
    <w:next w:val="Normal"/>
    <w:autoRedefine/>
    <w:semiHidden/>
    <w:rsid w:val="008751DB"/>
    <w:pPr>
      <w:tabs>
        <w:tab w:val="right" w:leader="dot" w:pos="8640"/>
      </w:tabs>
      <w:spacing w:before="120"/>
      <w:ind w:right="187"/>
    </w:pPr>
    <w:rPr>
      <w:b/>
      <w:bCs/>
      <w:caps/>
      <w:noProof/>
      <w:szCs w:val="32"/>
    </w:rPr>
  </w:style>
  <w:style w:type="paragraph" w:styleId="TOC2">
    <w:name w:val="toc 2"/>
    <w:basedOn w:val="Normal"/>
    <w:next w:val="Normal"/>
    <w:autoRedefine/>
    <w:semiHidden/>
    <w:rsid w:val="008751DB"/>
    <w:pPr>
      <w:tabs>
        <w:tab w:val="left" w:pos="720"/>
        <w:tab w:val="right" w:leader="dot" w:pos="8640"/>
      </w:tabs>
      <w:spacing w:before="40"/>
      <w:ind w:left="720" w:right="187" w:hanging="518"/>
    </w:pPr>
    <w:rPr>
      <w:noProof/>
    </w:rPr>
  </w:style>
  <w:style w:type="paragraph" w:styleId="TOC3">
    <w:name w:val="toc 3"/>
    <w:basedOn w:val="Normal"/>
    <w:next w:val="Normal"/>
    <w:autoRedefine/>
    <w:semiHidden/>
    <w:rsid w:val="008751DB"/>
    <w:pPr>
      <w:tabs>
        <w:tab w:val="left" w:pos="1440"/>
        <w:tab w:val="right" w:leader="dot" w:pos="8640"/>
      </w:tabs>
      <w:ind w:left="1440" w:right="180" w:hanging="720"/>
    </w:pPr>
    <w:rPr>
      <w:i/>
      <w:iCs/>
      <w:noProof/>
    </w:rPr>
  </w:style>
  <w:style w:type="paragraph" w:styleId="TOC4">
    <w:name w:val="toc 4"/>
    <w:basedOn w:val="Normal"/>
    <w:next w:val="Normal"/>
    <w:autoRedefine/>
    <w:semiHidden/>
    <w:rsid w:val="008751DB"/>
    <w:pPr>
      <w:ind w:left="600"/>
    </w:pPr>
    <w:rPr>
      <w:szCs w:val="21"/>
    </w:rPr>
  </w:style>
  <w:style w:type="paragraph" w:styleId="TOC5">
    <w:name w:val="toc 5"/>
    <w:basedOn w:val="Normal"/>
    <w:next w:val="Normal"/>
    <w:autoRedefine/>
    <w:semiHidden/>
    <w:rsid w:val="008751DB"/>
    <w:pPr>
      <w:ind w:left="800"/>
    </w:pPr>
    <w:rPr>
      <w:szCs w:val="21"/>
    </w:rPr>
  </w:style>
  <w:style w:type="paragraph" w:customStyle="1" w:styleId="TableTitleNotautonumbered">
    <w:name w:val="Table Title Not auto numbered"/>
    <w:basedOn w:val="Body"/>
    <w:rsid w:val="008751DB"/>
    <w:pPr>
      <w:spacing w:before="360" w:after="120"/>
      <w:jc w:val="center"/>
    </w:pPr>
    <w:rPr>
      <w:b/>
    </w:rPr>
  </w:style>
  <w:style w:type="paragraph" w:customStyle="1" w:styleId="pbody">
    <w:name w:val="pbody"/>
    <w:basedOn w:val="Normal"/>
    <w:rsid w:val="00CF0C45"/>
    <w:pPr>
      <w:spacing w:line="288" w:lineRule="auto"/>
      <w:ind w:firstLine="240"/>
    </w:pPr>
    <w:rPr>
      <w:rFonts w:cs="Arial"/>
      <w:color w:val="000000"/>
      <w:szCs w:val="20"/>
    </w:rPr>
  </w:style>
  <w:style w:type="paragraph" w:customStyle="1" w:styleId="contracts">
    <w:name w:val="contracts"/>
    <w:rsid w:val="008751DB"/>
    <w:pPr>
      <w:spacing w:before="40" w:after="40"/>
    </w:pPr>
    <w:rPr>
      <w:rFonts w:ascii="Helvetica" w:hAnsi="Helvetica"/>
      <w:b/>
    </w:rPr>
  </w:style>
  <w:style w:type="paragraph" w:styleId="BodyText3">
    <w:name w:val="Body Text 3"/>
    <w:basedOn w:val="Normal"/>
    <w:rsid w:val="008751DB"/>
    <w:pPr>
      <w:jc w:val="both"/>
    </w:pPr>
  </w:style>
  <w:style w:type="paragraph" w:customStyle="1" w:styleId="FieldNumb01">
    <w:name w:val="Field Numb01"/>
    <w:rsid w:val="001A0337"/>
    <w:pPr>
      <w:autoSpaceDE w:val="0"/>
      <w:autoSpaceDN w:val="0"/>
      <w:adjustRightInd w:val="0"/>
      <w:ind w:left="720"/>
    </w:pPr>
    <w:rPr>
      <w:sz w:val="24"/>
      <w:szCs w:val="24"/>
    </w:rPr>
  </w:style>
  <w:style w:type="character" w:styleId="CommentReference">
    <w:name w:val="annotation reference"/>
    <w:semiHidden/>
    <w:rsid w:val="001E558E"/>
    <w:rPr>
      <w:sz w:val="16"/>
      <w:szCs w:val="16"/>
    </w:rPr>
  </w:style>
  <w:style w:type="paragraph" w:styleId="CommentText">
    <w:name w:val="annotation text"/>
    <w:basedOn w:val="Normal"/>
    <w:semiHidden/>
    <w:rsid w:val="001E558E"/>
    <w:rPr>
      <w:szCs w:val="20"/>
    </w:rPr>
  </w:style>
  <w:style w:type="paragraph" w:styleId="CommentSubject">
    <w:name w:val="annotation subject"/>
    <w:basedOn w:val="CommentText"/>
    <w:next w:val="CommentText"/>
    <w:semiHidden/>
    <w:rsid w:val="001E558E"/>
    <w:rPr>
      <w:b/>
      <w:bCs/>
    </w:rPr>
  </w:style>
  <w:style w:type="paragraph" w:styleId="BalloonText">
    <w:name w:val="Balloon Text"/>
    <w:basedOn w:val="Normal"/>
    <w:semiHidden/>
    <w:rsid w:val="001E558E"/>
    <w:rPr>
      <w:rFonts w:ascii="Tahoma" w:hAnsi="Tahoma" w:cs="Tahoma"/>
      <w:sz w:val="16"/>
      <w:szCs w:val="16"/>
    </w:rPr>
  </w:style>
  <w:style w:type="paragraph" w:customStyle="1" w:styleId="pindented1">
    <w:name w:val="pindented1"/>
    <w:basedOn w:val="Normal"/>
    <w:rsid w:val="00CF0C45"/>
    <w:pPr>
      <w:spacing w:line="288" w:lineRule="auto"/>
      <w:ind w:firstLine="480"/>
    </w:pPr>
    <w:rPr>
      <w:rFonts w:cs="Arial"/>
      <w:color w:val="000000"/>
      <w:szCs w:val="20"/>
    </w:rPr>
  </w:style>
  <w:style w:type="paragraph" w:customStyle="1" w:styleId="Default">
    <w:name w:val="Default"/>
    <w:rsid w:val="009619B0"/>
    <w:pPr>
      <w:autoSpaceDE w:val="0"/>
      <w:autoSpaceDN w:val="0"/>
      <w:adjustRightInd w:val="0"/>
    </w:pPr>
    <w:rPr>
      <w:rFonts w:ascii="Arial Narrow" w:hAnsi="Arial Narrow" w:cs="Arial Narrow"/>
      <w:color w:val="000000"/>
      <w:sz w:val="24"/>
      <w:szCs w:val="24"/>
    </w:rPr>
  </w:style>
  <w:style w:type="character" w:customStyle="1" w:styleId="InstructionChar">
    <w:name w:val="Instruction Char"/>
    <w:link w:val="Instruction"/>
    <w:rsid w:val="009619B0"/>
    <w:rPr>
      <w:rFonts w:ascii="Arial" w:hAnsi="Arial"/>
      <w:i/>
      <w:szCs w:val="24"/>
      <w:lang w:val="en-US" w:eastAsia="en-US" w:bidi="ar-SA"/>
    </w:rPr>
  </w:style>
  <w:style w:type="table" w:styleId="TableGrid">
    <w:name w:val="Table Grid"/>
    <w:basedOn w:val="TableNormal"/>
    <w:rsid w:val="0096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25B73"/>
    <w:rPr>
      <w:rFonts w:ascii="Arial" w:hAnsi="Arial"/>
      <w:szCs w:val="24"/>
    </w:rPr>
  </w:style>
  <w:style w:type="character" w:customStyle="1" w:styleId="field-content">
    <w:name w:val="field-content"/>
    <w:basedOn w:val="DefaultParagraphFont"/>
    <w:rsid w:val="0077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8087">
      <w:bodyDiv w:val="1"/>
      <w:marLeft w:val="0"/>
      <w:marRight w:val="0"/>
      <w:marTop w:val="0"/>
      <w:marBottom w:val="0"/>
      <w:divBdr>
        <w:top w:val="none" w:sz="0" w:space="0" w:color="auto"/>
        <w:left w:val="none" w:sz="0" w:space="0" w:color="auto"/>
        <w:bottom w:val="none" w:sz="0" w:space="0" w:color="auto"/>
        <w:right w:val="none" w:sz="0" w:space="0" w:color="auto"/>
      </w:divBdr>
    </w:div>
    <w:div w:id="531574687">
      <w:bodyDiv w:val="1"/>
      <w:marLeft w:val="0"/>
      <w:marRight w:val="0"/>
      <w:marTop w:val="0"/>
      <w:marBottom w:val="0"/>
      <w:divBdr>
        <w:top w:val="none" w:sz="0" w:space="0" w:color="auto"/>
        <w:left w:val="none" w:sz="0" w:space="0" w:color="auto"/>
        <w:bottom w:val="none" w:sz="0" w:space="0" w:color="auto"/>
        <w:right w:val="none" w:sz="0" w:space="0" w:color="auto"/>
      </w:divBdr>
    </w:div>
    <w:div w:id="1269196156">
      <w:bodyDiv w:val="1"/>
      <w:marLeft w:val="0"/>
      <w:marRight w:val="0"/>
      <w:marTop w:val="0"/>
      <w:marBottom w:val="0"/>
      <w:divBdr>
        <w:top w:val="none" w:sz="0" w:space="0" w:color="auto"/>
        <w:left w:val="none" w:sz="0" w:space="0" w:color="auto"/>
        <w:bottom w:val="none" w:sz="0" w:space="0" w:color="auto"/>
        <w:right w:val="none" w:sz="0" w:space="0" w:color="auto"/>
      </w:divBdr>
    </w:div>
    <w:div w:id="1776900610">
      <w:bodyDiv w:val="1"/>
      <w:marLeft w:val="0"/>
      <w:marRight w:val="0"/>
      <w:marTop w:val="0"/>
      <w:marBottom w:val="0"/>
      <w:divBdr>
        <w:top w:val="none" w:sz="0" w:space="0" w:color="auto"/>
        <w:left w:val="none" w:sz="0" w:space="0" w:color="auto"/>
        <w:bottom w:val="none" w:sz="0" w:space="0" w:color="auto"/>
        <w:right w:val="none" w:sz="0" w:space="0" w:color="auto"/>
      </w:divBdr>
    </w:div>
    <w:div w:id="180279667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html/Subpart%2016_2.html" TargetMode="External"/><Relationship Id="rId13" Type="http://schemas.openxmlformats.org/officeDocument/2006/relationships/hyperlink" Target="http://acquisition.gov/comp/far/current/html/FARTOCP46.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itaac.nih.gov/nitaac/contracts/cio-sp3" TargetMode="External"/><Relationship Id="rId12" Type="http://schemas.openxmlformats.org/officeDocument/2006/relationships/hyperlink" Target="http://acquisition.gov/comp/far/current/html/Subpart%2037_6.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html/Subpart%209_5.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cquisition.gov/far/html/Subpart%2016_6.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cquisition.gov/far/current/html/Subpart%2016_3.html" TargetMode="External"/><Relationship Id="rId14" Type="http://schemas.openxmlformats.org/officeDocument/2006/relationships/hyperlink" Target="http://nitaac.nih.gov/nitaac/tools-templates/cio-sp3/qasp-templ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NITAAC Statement of Work (SOW)</vt:lpstr>
    </vt:vector>
  </TitlesOfParts>
  <Company>OD/NIH</Company>
  <LinksUpToDate>false</LinksUpToDate>
  <CharactersWithSpaces>15232</CharactersWithSpaces>
  <SharedDoc>false</SharedDoc>
  <HLinks>
    <vt:vector size="48" baseType="variant">
      <vt:variant>
        <vt:i4>7995450</vt:i4>
      </vt:variant>
      <vt:variant>
        <vt:i4>21</vt:i4>
      </vt:variant>
      <vt:variant>
        <vt:i4>0</vt:i4>
      </vt:variant>
      <vt:variant>
        <vt:i4>5</vt:i4>
      </vt:variant>
      <vt:variant>
        <vt:lpwstr>http://nitaac.nih.gov/nitaac/tools-templates/cio-sp3/qasp-template</vt:lpwstr>
      </vt:variant>
      <vt:variant>
        <vt:lpwstr/>
      </vt:variant>
      <vt:variant>
        <vt:i4>6815755</vt:i4>
      </vt:variant>
      <vt:variant>
        <vt:i4>18</vt:i4>
      </vt:variant>
      <vt:variant>
        <vt:i4>0</vt:i4>
      </vt:variant>
      <vt:variant>
        <vt:i4>5</vt:i4>
      </vt:variant>
      <vt:variant>
        <vt:lpwstr>http://acquisition.gov/comp/far/current/html/FARTOCP46.html</vt:lpwstr>
      </vt:variant>
      <vt:variant>
        <vt:lpwstr>wp226846</vt:lpwstr>
      </vt:variant>
      <vt:variant>
        <vt:i4>983070</vt:i4>
      </vt:variant>
      <vt:variant>
        <vt:i4>15</vt:i4>
      </vt:variant>
      <vt:variant>
        <vt:i4>0</vt:i4>
      </vt:variant>
      <vt:variant>
        <vt:i4>5</vt:i4>
      </vt:variant>
      <vt:variant>
        <vt:lpwstr>http://acquisition.gov/comp/far/current/html/Subpart 37_6.html</vt:lpwstr>
      </vt:variant>
      <vt:variant>
        <vt:lpwstr>wp1074195</vt:lpwstr>
      </vt:variant>
      <vt:variant>
        <vt:i4>196678</vt:i4>
      </vt:variant>
      <vt:variant>
        <vt:i4>12</vt:i4>
      </vt:variant>
      <vt:variant>
        <vt:i4>0</vt:i4>
      </vt:variant>
      <vt:variant>
        <vt:i4>5</vt:i4>
      </vt:variant>
      <vt:variant>
        <vt:lpwstr>https://www.acquisition.gov/far/html/Subpart 9_5.html</vt:lpwstr>
      </vt:variant>
      <vt:variant>
        <vt:lpwstr/>
      </vt:variant>
      <vt:variant>
        <vt:i4>5373994</vt:i4>
      </vt:variant>
      <vt:variant>
        <vt:i4>9</vt:i4>
      </vt:variant>
      <vt:variant>
        <vt:i4>0</vt:i4>
      </vt:variant>
      <vt:variant>
        <vt:i4>5</vt:i4>
      </vt:variant>
      <vt:variant>
        <vt:lpwstr>https://www.acquisition.gov/far/html/Subpart 16_6.html</vt:lpwstr>
      </vt:variant>
      <vt:variant>
        <vt:lpwstr/>
      </vt:variant>
      <vt:variant>
        <vt:i4>1310767</vt:i4>
      </vt:variant>
      <vt:variant>
        <vt:i4>6</vt:i4>
      </vt:variant>
      <vt:variant>
        <vt:i4>0</vt:i4>
      </vt:variant>
      <vt:variant>
        <vt:i4>5</vt:i4>
      </vt:variant>
      <vt:variant>
        <vt:lpwstr>https://www.acquisition.gov/far/current/html/Subpart 16_3.html</vt:lpwstr>
      </vt:variant>
      <vt:variant>
        <vt:lpwstr/>
      </vt:variant>
      <vt:variant>
        <vt:i4>5373998</vt:i4>
      </vt:variant>
      <vt:variant>
        <vt:i4>3</vt:i4>
      </vt:variant>
      <vt:variant>
        <vt:i4>0</vt:i4>
      </vt:variant>
      <vt:variant>
        <vt:i4>5</vt:i4>
      </vt:variant>
      <vt:variant>
        <vt:lpwstr>https://www.acquisition.gov/far/html/Subpart 16_2.html</vt:lpwstr>
      </vt:variant>
      <vt:variant>
        <vt:lpwstr/>
      </vt:variant>
      <vt:variant>
        <vt:i4>3211316</vt:i4>
      </vt:variant>
      <vt:variant>
        <vt:i4>0</vt:i4>
      </vt:variant>
      <vt:variant>
        <vt:i4>0</vt:i4>
      </vt:variant>
      <vt:variant>
        <vt:i4>5</vt:i4>
      </vt:variant>
      <vt:variant>
        <vt:lpwstr>http://nitaac.nih.gov/nitaac/contracts/cio-sp3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NITAAC Statement of Work (SOW)</dc:title>
  <dc:subject/>
  <dc:creator>RussellW</dc:creator>
  <cp:keywords/>
  <dc:description/>
  <cp:lastModifiedBy>Hernandez, Cameron (NIH/OD) [E]</cp:lastModifiedBy>
  <cp:revision>2</cp:revision>
  <cp:lastPrinted>2008-01-29T20:18:00Z</cp:lastPrinted>
  <dcterms:created xsi:type="dcterms:W3CDTF">2016-07-11T12:58:00Z</dcterms:created>
  <dcterms:modified xsi:type="dcterms:W3CDTF">2016-07-11T12:58:00Z</dcterms:modified>
</cp:coreProperties>
</file>